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746.0" w:type="dxa"/>
        <w:jc w:val="left"/>
        <w:tblInd w:w="287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73"/>
        <w:gridCol w:w="4873"/>
        <w:tblGridChange w:id="0">
          <w:tblGrid>
            <w:gridCol w:w="4873"/>
            <w:gridCol w:w="487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Praktyczna nauka języka angielskiego – p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raca z tekstem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Practical English – writing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Językoznawstwo, literaturoznawstwo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6.0" w:type="dxa"/>
        <w:jc w:val="left"/>
        <w:tblInd w:w="287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73"/>
        <w:gridCol w:w="4873"/>
        <w:tblGridChange w:id="0">
          <w:tblGrid>
            <w:gridCol w:w="4873"/>
            <w:gridCol w:w="487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Sebastian Wasak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9" w:right="0" w:hanging="17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06.000000000002" w:type="dxa"/>
        <w:jc w:val="left"/>
        <w:tblInd w:w="287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854"/>
        <w:gridCol w:w="1832"/>
        <w:gridCol w:w="1833"/>
        <w:gridCol w:w="3887"/>
        <w:tblGridChange w:id="0">
          <w:tblGrid>
            <w:gridCol w:w="1854"/>
            <w:gridCol w:w="1832"/>
            <w:gridCol w:w="1833"/>
            <w:gridCol w:w="388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I, II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9" w:right="0" w:hanging="17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46.0" w:type="dxa"/>
        <w:jc w:val="left"/>
        <w:tblInd w:w="287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061"/>
        <w:gridCol w:w="7685"/>
        <w:tblGridChange w:id="0">
          <w:tblGrid>
            <w:gridCol w:w="2061"/>
            <w:gridCol w:w="7685"/>
          </w:tblGrid>
        </w:tblGridChange>
      </w:tblGrid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znajomości języka angielskiego przynajmniej C1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oraz </w:t>
              <w:br w:type="textWrapping"/>
              <w:t xml:space="preserve">ogólna wiedza filologiczna zdobyta w ramach wcześniejszych kursów studiów I stopnia.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747.0" w:type="dxa"/>
        <w:jc w:val="left"/>
        <w:tblInd w:w="287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pomoc studentom w doskonaleniu ich umiejętności pisania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‒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pomoc w pisaniu pracy magisterskiej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wyrabianie zdolności precyzyjnego i przejrzystego artykułowania myśli w piśmie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C4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doskonalenie zdolności krytycznego myślenia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747.0" w:type="dxa"/>
        <w:jc w:val="left"/>
        <w:tblInd w:w="287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7"/>
        <w:gridCol w:w="5271"/>
        <w:gridCol w:w="3549"/>
        <w:tblGridChange w:id="0">
          <w:tblGrid>
            <w:gridCol w:w="927"/>
            <w:gridCol w:w="5271"/>
            <w:gridCol w:w="3549"/>
          </w:tblGrid>
        </w:tblGridChange>
      </w:tblGrid>
      <w:tr>
        <w:trPr>
          <w:cantSplit w:val="0"/>
          <w:trHeight w:val="5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zna w pogłębionym stopniu formę, strukturę i odmiany współczesnego języka angielskiego w szczegółowym odniesieniu do dłuższej wypowiedzi pisemnej w języku angielskim.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K_W06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rozumie, na czym polega plagiat i jak prawidłowo opisać wykorzystane w pracy naukowej źródła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K_W09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konstruuje  wypowiedzi pisemne w języku angielskim na odpowiednim poziomie biegłości i w odpowiednim rejestrze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K_U04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wyraża precyzyjnie i logicznie swoje myśli i poglądy w języku angielskim w piśmie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K_U05</w:t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przedstawia klarowne pisemne syntezy opracowanych zagadnień, w zakresie wybranych dyscyplin naukowych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K_U07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ocenia krytycznie informacje związane z wybranymi dyscyplinami naukowymi w obrębie kierunku Filologia Angielska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K_K01</w:t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747.0" w:type="dxa"/>
        <w:jc w:val="left"/>
        <w:tblInd w:w="287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58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w obu semestrach łączą jednocześnie wiele elementów, zagadnień i technik z możliwością elastycznego ich łączenia. Cały rok (18 spotkań w dwóch semestrach) obejmuje następujące treści programowe: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 1: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62626"/>
                <w:sz w:val="22"/>
                <w:szCs w:val="22"/>
                <w:rtl w:val="0"/>
              </w:rPr>
              <w:t xml:space="preserve">academic style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‒</w:t>
            </w:r>
            <w:r w:rsidDel="00000000" w:rsidR="00000000" w:rsidRPr="00000000">
              <w:rPr>
                <w:color w:val="262626"/>
                <w:sz w:val="22"/>
                <w:szCs w:val="22"/>
                <w:rtl w:val="0"/>
              </w:rPr>
              <w:t xml:space="preserve"> revision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color w:val="262626"/>
                <w:sz w:val="22"/>
                <w:szCs w:val="22"/>
                <w:u w:val="none"/>
              </w:rPr>
            </w:pPr>
            <w:r w:rsidDel="00000000" w:rsidR="00000000" w:rsidRPr="00000000">
              <w:rPr>
                <w:color w:val="262626"/>
                <w:sz w:val="22"/>
                <w:szCs w:val="22"/>
                <w:rtl w:val="0"/>
              </w:rPr>
              <w:t xml:space="preserve">paragraph coherence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color w:val="262626"/>
                <w:sz w:val="22"/>
                <w:szCs w:val="22"/>
                <w:u w:val="none"/>
              </w:rPr>
            </w:pPr>
            <w:r w:rsidDel="00000000" w:rsidR="00000000" w:rsidRPr="00000000">
              <w:rPr>
                <w:color w:val="262626"/>
                <w:sz w:val="22"/>
                <w:szCs w:val="22"/>
                <w:rtl w:val="0"/>
              </w:rPr>
              <w:t xml:space="preserve">summarizing and paraphrasing - revision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color w:val="262626"/>
                <w:sz w:val="22"/>
                <w:szCs w:val="22"/>
                <w:u w:val="none"/>
              </w:rPr>
            </w:pPr>
            <w:r w:rsidDel="00000000" w:rsidR="00000000" w:rsidRPr="00000000">
              <w:rPr>
                <w:color w:val="262626"/>
                <w:sz w:val="22"/>
                <w:szCs w:val="22"/>
                <w:rtl w:val="0"/>
              </w:rPr>
              <w:t xml:space="preserve">grammatical constructions useful for academic writing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7"/>
              </w:numPr>
              <w:spacing w:line="360" w:lineRule="auto"/>
              <w:ind w:left="720" w:hanging="360"/>
              <w:rPr>
                <w:color w:val="262626"/>
                <w:sz w:val="22"/>
                <w:szCs w:val="22"/>
              </w:rPr>
            </w:pPr>
            <w:r w:rsidDel="00000000" w:rsidR="00000000" w:rsidRPr="00000000">
              <w:rPr>
                <w:color w:val="262626"/>
                <w:sz w:val="22"/>
                <w:szCs w:val="22"/>
                <w:rtl w:val="0"/>
              </w:rPr>
              <w:t xml:space="preserve">academic vocabulary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 2: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36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62626"/>
                <w:sz w:val="22"/>
                <w:szCs w:val="22"/>
                <w:rtl w:val="0"/>
              </w:rPr>
              <w:t xml:space="preserve">avoiding awkward phrasing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360" w:lineRule="auto"/>
              <w:ind w:left="720" w:right="0" w:hanging="360"/>
              <w:jc w:val="left"/>
              <w:rPr>
                <w:color w:val="262626"/>
                <w:sz w:val="22"/>
                <w:szCs w:val="22"/>
                <w:u w:val="none"/>
              </w:rPr>
            </w:pPr>
            <w:r w:rsidDel="00000000" w:rsidR="00000000" w:rsidRPr="00000000">
              <w:rPr>
                <w:color w:val="262626"/>
                <w:sz w:val="22"/>
                <w:szCs w:val="22"/>
                <w:rtl w:val="0"/>
              </w:rPr>
              <w:t xml:space="preserve">AI-based tools: how to (not) use them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360" w:lineRule="auto"/>
              <w:ind w:left="720" w:right="0" w:hanging="360"/>
              <w:jc w:val="left"/>
              <w:rPr>
                <w:color w:val="262626"/>
                <w:sz w:val="22"/>
                <w:szCs w:val="22"/>
                <w:u w:val="none"/>
              </w:rPr>
            </w:pPr>
            <w:r w:rsidDel="00000000" w:rsidR="00000000" w:rsidRPr="00000000">
              <w:rPr>
                <w:color w:val="262626"/>
                <w:sz w:val="22"/>
                <w:szCs w:val="22"/>
                <w:rtl w:val="0"/>
              </w:rPr>
              <w:t xml:space="preserve">combining academic sources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3"/>
              </w:num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line="360" w:lineRule="auto"/>
              <w:ind w:left="720" w:hanging="360"/>
              <w:rPr>
                <w:color w:val="262626"/>
                <w:sz w:val="22"/>
                <w:szCs w:val="22"/>
              </w:rPr>
            </w:pPr>
            <w:r w:rsidDel="00000000" w:rsidR="00000000" w:rsidRPr="00000000">
              <w:rPr>
                <w:color w:val="262626"/>
                <w:sz w:val="22"/>
                <w:szCs w:val="22"/>
                <w:rtl w:val="0"/>
              </w:rPr>
              <w:t xml:space="preserve">paragraph coherence: consolidation &amp; revision</w:t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406.0" w:type="dxa"/>
        <w:jc w:val="left"/>
        <w:tblInd w:w="287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7"/>
        <w:gridCol w:w="1986"/>
        <w:gridCol w:w="2683"/>
        <w:gridCol w:w="3810"/>
        <w:tblGridChange w:id="0">
          <w:tblGrid>
            <w:gridCol w:w="927"/>
            <w:gridCol w:w="1986"/>
            <w:gridCol w:w="2683"/>
            <w:gridCol w:w="3810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 konwersatoryjny, ćwiczenia warsztatowe, analiza tekstu, dyskusja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pisemna, wypowiedź ustna podczas zajęć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sprawdzona praca pisemna, zapis w dzienniku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 konwersatoryjny, ćwiczenia warsztatowe, analiza tekstu, dyskusja,</w:t>
            </w:r>
          </w:p>
          <w:p w:rsidR="00000000" w:rsidDel="00000000" w:rsidP="00000000" w:rsidRDefault="00000000" w:rsidRPr="00000000" w14:paraId="000000A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zespołowa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pisemna, wypowiedź ustna podczas zajęć, egzamin pisemny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sprawdzona praca pisemna, zapis w dzienniku ocen, sprawdzone prace egzaminacyjne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140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 konwersatoryjny, ćwiczenia warsztatowe, dyskusja</w:t>
            </w:r>
          </w:p>
          <w:p w:rsidR="00000000" w:rsidDel="00000000" w:rsidP="00000000" w:rsidRDefault="00000000" w:rsidRPr="00000000" w14:paraId="000000B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zespołowa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pisemna, wypowiedź ustna podczas zajęć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sprawdzona praca pisemna, zapis w dzienniku ocen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79" w:right="0" w:hanging="17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</w:t>
      </w:r>
    </w:p>
    <w:p w:rsidR="00000000" w:rsidDel="00000000" w:rsidP="00000000" w:rsidRDefault="00000000" w:rsidRPr="00000000" w14:paraId="000000B6">
      <w:pPr>
        <w:widowControl w:val="0"/>
        <w:spacing w:after="200" w:line="276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Warunkiem zaliczenia przedmiotu jest uczestniczenie w zajęciach oraz zaliczenie na ocenę pozytywną prac pisemnych. </w:t>
      </w:r>
    </w:p>
    <w:p w:rsidR="00000000" w:rsidDel="00000000" w:rsidP="00000000" w:rsidRDefault="00000000" w:rsidRPr="00000000" w14:paraId="000000B7">
      <w:pPr>
        <w:widowControl w:val="0"/>
        <w:spacing w:after="200" w:line="276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Finalna ocena jest wystawiana na podstawie ocen z prac pisemnych. Pod uwagę brana jest również aktywność studenta podczas zajęć. </w:t>
      </w:r>
    </w:p>
    <w:p w:rsidR="00000000" w:rsidDel="00000000" w:rsidP="00000000" w:rsidRDefault="00000000" w:rsidRPr="00000000" w14:paraId="000000B8">
      <w:pPr>
        <w:widowControl w:val="0"/>
        <w:spacing w:after="200" w:line="276" w:lineRule="auto"/>
        <w:ind w:lef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Kurs kończy się egzaminem (jest to część końcowego pisemnego egzaminu z Praktycznej Nauki Języka Angielskiego)</w:t>
      </w:r>
    </w:p>
    <w:p w:rsidR="00000000" w:rsidDel="00000000" w:rsidP="00000000" w:rsidRDefault="00000000" w:rsidRPr="00000000" w14:paraId="000000B9">
      <w:pPr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746.0" w:type="dxa"/>
        <w:jc w:val="left"/>
        <w:tblInd w:w="287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179"/>
        <w:gridCol w:w="5567"/>
        <w:tblGridChange w:id="0">
          <w:tblGrid>
            <w:gridCol w:w="4179"/>
            <w:gridCol w:w="556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747.0" w:type="dxa"/>
        <w:jc w:val="left"/>
        <w:tblInd w:w="287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</w:t>
            </w:r>
          </w:p>
        </w:tc>
      </w:tr>
      <w:tr>
        <w:trPr>
          <w:cantSplit w:val="0"/>
          <w:trHeight w:val="445.92529296875006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Materiały przygotowane przez prowadzącego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Bailey, Stephen. (2011).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Academic Writing: A Handbook for International Students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London and New York: Routledge.</w:t>
            </w:r>
          </w:p>
          <w:p w:rsidR="00000000" w:rsidDel="00000000" w:rsidP="00000000" w:rsidRDefault="00000000" w:rsidRPr="00000000" w14:paraId="000000C8">
            <w:pPr>
              <w:spacing w:after="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Macpherson, Robin. (1998).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English for Writers and Translators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Warszawa: PWN.</w:t>
            </w:r>
          </w:p>
        </w:tc>
      </w:tr>
    </w:tbl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"/>
          <w:tab w:val="left" w:leader="none" w:pos="1080"/>
        </w:tabs>
        <w:spacing w:after="20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6"/>
      <w:numFmt w:val="upperRoman"/>
      <w:lvlText w:val="%1."/>
      <w:lvlJc w:val="left"/>
      <w:pPr>
        <w:ind w:left="1080" w:hanging="108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180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252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24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396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468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540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12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108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180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252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24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396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468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540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12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7"/>
      <w:numFmt w:val="upperRoman"/>
      <w:lvlText w:val="%1."/>
      <w:lvlJc w:val="left"/>
      <w:pPr>
        <w:ind w:left="1080" w:hanging="108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180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252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24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396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468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540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12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4"/>
      <w:numFmt w:val="upperRoman"/>
      <w:lvlText w:val="%1."/>
      <w:lvlJc w:val="left"/>
      <w:pPr>
        <w:ind w:left="1080" w:hanging="108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180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252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24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396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468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540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12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1"/>
      <w:numFmt w:val="upperRoman"/>
      <w:lvlText w:val="%1."/>
      <w:lvlJc w:val="left"/>
      <w:pPr>
        <w:ind w:left="1080" w:hanging="108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180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252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24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396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468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540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12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8"/>
      <w:numFmt w:val="upperRoman"/>
      <w:lvlText w:val="%1."/>
      <w:lvlJc w:val="left"/>
      <w:pPr>
        <w:ind w:left="1080" w:hanging="108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180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252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24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396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468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540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12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</w:abstractNum>
  <w:abstractNum w:abstractNumId="9">
    <w:lvl w:ilvl="0">
      <w:start w:val="5"/>
      <w:numFmt w:val="upperRoman"/>
      <w:lvlText w:val="%1."/>
      <w:lvlJc w:val="left"/>
      <w:pPr>
        <w:ind w:left="1080" w:hanging="108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180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252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24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396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468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540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12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</w:abstractNum>
  <w:abstractNum w:abstractNumId="10">
    <w:lvl w:ilvl="0">
      <w:start w:val="2"/>
      <w:numFmt w:val="upperRoman"/>
      <w:lvlText w:val="%1."/>
      <w:lvlJc w:val="left"/>
      <w:pPr>
        <w:ind w:left="1080" w:hanging="108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180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252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24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396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468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540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120" w:hanging="36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sz w:val="24"/>
      <w:szCs w:val="24"/>
      <w:lang w:eastAsia="en-US"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Body" w:customStyle="1">
    <w:name w:val="Body"/>
    <w:rPr>
      <w:rFonts w:ascii="Calibri" w:cs="Calibri" w:eastAsia="Calibri" w:hAnsi="Calibri"/>
      <w:color w:val="000000"/>
      <w:sz w:val="24"/>
      <w:szCs w:val="24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4"/>
      </w:numPr>
    </w:pPr>
  </w:style>
  <w:style w:type="numbering" w:styleId="ImportedStyle3" w:customStyle="1">
    <w:name w:val="Imported Style 3"/>
    <w:pPr>
      <w:numPr>
        <w:numId w:val="6"/>
      </w:numPr>
    </w:pPr>
  </w:style>
  <w:style w:type="numbering" w:styleId="ImportedStyle4" w:customStyle="1">
    <w:name w:val="Imported Style 4"/>
    <w:pPr>
      <w:numPr>
        <w:numId w:val="10"/>
      </w:numPr>
    </w:pPr>
  </w:style>
  <w:style w:type="numbering" w:styleId="ImportedStyle5" w:customStyle="1">
    <w:name w:val="Imported Style 5"/>
    <w:pPr>
      <w:numPr>
        <w:numId w:val="12"/>
      </w:numPr>
    </w:pPr>
  </w:style>
  <w:style w:type="numbering" w:styleId="ImportedStyle6" w:customStyle="1">
    <w:name w:val="Imported Style 6"/>
    <w:pPr>
      <w:numPr>
        <w:numId w:val="15"/>
      </w:numPr>
    </w:pPr>
  </w:style>
  <w:style w:type="numbering" w:styleId="ImportedStyle7" w:customStyle="1">
    <w:name w:val="Imported Style 7"/>
    <w:pPr>
      <w:numPr>
        <w:numId w:val="19"/>
      </w:numPr>
    </w:pPr>
  </w:style>
  <w:style w:type="numbering" w:styleId="ImportedStyle8" w:customStyle="1">
    <w:name w:val="Imported Style 8"/>
    <w:pPr>
      <w:numPr>
        <w:numId w:val="22"/>
      </w:numPr>
    </w:pPr>
  </w:style>
  <w:style w:type="numbering" w:styleId="ImportedStyle9" w:customStyle="1">
    <w:name w:val="Imported Style 9"/>
    <w:pPr>
      <w:numPr>
        <w:numId w:val="25"/>
      </w:numPr>
    </w:pPr>
  </w:style>
  <w:style w:type="numbering" w:styleId="ImportedStyle10" w:customStyle="1">
    <w:name w:val="Imported Style 10"/>
    <w:pPr>
      <w:numPr>
        <w:numId w:val="29"/>
      </w:numPr>
    </w:pPr>
  </w:style>
  <w:style w:type="paragraph" w:styleId="Stopka">
    <w:name w:val="footer"/>
    <w:basedOn w:val="Normalny"/>
    <w:link w:val="StopkaZnak"/>
    <w:uiPriority w:val="99"/>
    <w:unhideWhenUsed w:val="1"/>
    <w:rsid w:val="00355835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355835"/>
    <w:rPr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AHyMPvbnEdYMvZDZKj5yUjj1Bw==">CgMxLjAyCGguZ2pkZ3hzOAByITFzUXdsUnhvamU4OTVBSFZWWjljdHlhS0d1Uzh1N2d0UQ==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2021-09-27T09:11:00Z</dcterms:created>
  <dc:creator>Krzysztof Skórski</dc:creator>
</cp:coreProperties>
</file>