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38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12"/>
        <w:gridCol w:w="4726"/>
        <w:tblGridChange w:id="0">
          <w:tblGrid>
            <w:gridCol w:w="4312"/>
            <w:gridCol w:w="472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Praktyczna nauka języka angielskiego - tłumaczenia ustne polsko-angielskie 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Practical English – Interpreting (Polish-English) 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 Joanna Mirek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Praktyczna znajomość języka angielskiego (B2+)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Zaawansowana znajomość języka polskiego (C1)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Umiejętność tłumaczenia konsekutywnego 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123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 wyszukiwania informacji 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</w:t>
            </w:r>
            <w:r w:rsidDel="00000000" w:rsidR="00000000" w:rsidRPr="00000000">
              <w:rPr>
                <w:color w:val="333333"/>
                <w:sz w:val="22"/>
                <w:szCs w:val="22"/>
                <w:u w:val="none"/>
                <w:rtl w:val="0"/>
              </w:rPr>
              <w:t xml:space="preserve"> Nabycie umiejętności tłumaczenia konsekutywnego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u w:val="none"/>
                <w:rtl w:val="0"/>
              </w:rPr>
              <w:t xml:space="preserve">C2  Nabycie umiejętności analizy oraz streszczenia w j. polskim i angielskim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</w:t>
            </w:r>
            <w:r w:rsidDel="00000000" w:rsidR="00000000" w:rsidRPr="00000000">
              <w:rPr>
                <w:color w:val="333333"/>
                <w:sz w:val="22"/>
                <w:szCs w:val="22"/>
                <w:u w:val="none"/>
                <w:rtl w:val="0"/>
              </w:rPr>
              <w:t xml:space="preserve"> Nabycie umiejętności pracy w różnych zakresach tematycznych w j. polskim i angielskim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C4 Nabycie umiejętności stosowania technik notacji w przekładzie konsekutywnym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873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43"/>
        <w:gridCol w:w="5642"/>
        <w:gridCol w:w="2047"/>
        <w:tblGridChange w:id="0">
          <w:tblGrid>
            <w:gridCol w:w="1043"/>
            <w:gridCol w:w="5642"/>
            <w:gridCol w:w="2047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kontekst kulturowy, terminologię i mechanizmy językowe w języku polskim i angielskim w kontekście tłumaczenia ustnego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K_W03, K_W06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pojęcia z zakresu własności intelektualnej i prawa autorskiego oraz identyfikuje uwarunkowania ekonomiczne, prawne i etyczne działalności zawodowej tłumacza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K_W08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poprawnie konstruuje wypowiedzi ustne w języku polskim i angielskim na poziomie zaawansowanym, wykorzystując specjalistyczną terminologię oraz różnorodne techniki informacyjno-komunikacyjne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K_U03, K_U04, K_U05, K_U06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pracuje w zespole tłumaczeniowym w różnych rolach (tłumacz, mówca, adresat tłumaczenia)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K_U08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pracuje nad pogłębieniem umiejętności tłumaczeniowych, językowych i znajomością kontekstu kulturowego społeczności związanej z tłumaczeniem ustnym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K_U09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angażuje się w rozwój warsztatu tłumacza, korzystając z dostępnych źródeł eksperckich w kontekście tłumaczenia ustnego dla określonej grupy odbiorców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K_K01, K_K02, K_K03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748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48"/>
        <w:tblGridChange w:id="0">
          <w:tblGrid>
            <w:gridCol w:w="8748"/>
          </w:tblGrid>
        </w:tblGridChange>
      </w:tblGrid>
      <w:tr>
        <w:trPr>
          <w:cantSplit w:val="0"/>
          <w:trHeight w:val="109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-Wprowadzenie do pracy z glosariuszem </w:t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-Tłumaczenie konsekutywne przemówień przygotowanych przez studentów </w:t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-Tłumaczenie konsekutywne materiałów autentycznych - w formie audiowizualnej – wspomagane sporządzaniem notatek 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5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754"/>
        <w:tblGridChange w:id="0">
          <w:tblGrid>
            <w:gridCol w:w="8754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-Streszczanie, zmiana rejestru stylistycznego, przeformułowywanie, myślenie analityczne, ćwiczenia na emisję głosu 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5954"/>
              </w:tabs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Zespołowy projekt studencki: przygotowanie wystąpień konferencyjnych na dany temat, glosariuszy zawierających specjalistyczne słownictwo oraz tłumaczenie konsekutywne wystąpień</w:t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 praca z tekstem,</w:t>
            </w:r>
          </w:p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Case study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zajęć,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 case study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zajęć,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w grupach w różnych rolach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podlega ewaluacji na bieżąco. Oceniana jest aktywność na zajęciach i przygotowanie do zajęć (przygotowanie ustne i tłumaczenie ustne newsów, przemówień na wybrane tematy, przygotowanie ćwiczeń tłumaczeniowych, przygotowanie glosariuszy, tłumaczenie nagranych wcześniej przemówień), a także stopień zaawansowania i poprawności językowej i postęp w tłumaczeniu ustnym. </w:t>
      </w:r>
      <w:r w:rsidDel="00000000" w:rsidR="00000000" w:rsidRPr="00000000">
        <w:rPr>
          <w:sz w:val="22"/>
          <w:szCs w:val="22"/>
          <w:rtl w:val="0"/>
        </w:rPr>
        <w:t xml:space="preserve">Jeśli student przedstawi swoje tłumaczenie, które zostało w istotnym stopniu stworzone przez translator internetowy, skutkuje to otrzymaniem za tę pracę oceny niedostatecznej bez możliwości poprawy.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Dozwolona liczba nieobecności: 2. Warunki nadrobienia zaległości wynikających z przekroczenia ww. liczby nieobecności są każdorazowo indywidualnie uzgadniane z prowadzącym.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Tłumaczenia na zajęciach – 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0%</w:t>
        <w:br w:type="textWrapping"/>
        <w:t xml:space="preserve">Aktywność na zajęciach – 20%</w:t>
        <w:br w:type="textWrapping"/>
        <w:t xml:space="preserve">Ćwiczenia przygotowywane na zajęcia – 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0% </w:t>
        <w:br w:type="textWrapping"/>
        <w:t xml:space="preserve">Obecność – 10%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10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57</w:t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Giles, D. 2009. Basic Concepts and Models for Interpreter and Translator Training. </w:t>
            </w:r>
          </w:p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Gilles, Andrew. 2001. Conference Interpreting: A Student's Companion. Tertium: Kraków. </w:t>
            </w:r>
          </w:p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Jones, Roderick. 2002. Conference Interpreting Explained. Manchester: St. Jerome. </w:t>
            </w:r>
          </w:p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Tryuk, M. 2007. Przekład ustny konferencyjny. Warszawa : Wydawnictwo Naukowe PWN.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Gambier, Yves, Gile, Daniel i Christopher Tylor. 1997. Conference Interpreting. Amsterdam: John Benjamins </w:t>
            </w:r>
          </w:p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Korzeniowska, A. 2005. Successful Polish-English translation. Warszawa: Wydaw. Naukowe PWN. </w:t>
            </w:r>
          </w:p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Seleskovitch, Danica. 1989. Teaching Conference Interpreting. w: Krawutschke, Peter W. (red.) Translator and Intepreter Training and Foreign Language Pedagogy. Amsterdam / Binghamton: John Benjamins / ATA. </w:t>
            </w:r>
          </w:p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Setton, Robin i Adrew Dawrant. 2016. Conference Interpreting: A Complete Course. Amsterdam / Philadelphia: John Benjamins. </w:t>
            </w:r>
          </w:p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Tryuk, M. 2006. Przekład ustny środowiskowy. Warszawa : Wydawnictwo Naukowe PWN.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NoneA" w:customStyle="1">
    <w:name w:val="None A"/>
    <w:rPr>
      <w:lang w:val="en-US"/>
    </w:rPr>
  </w:style>
  <w:style w:type="paragraph" w:styleId="v1msonormal" w:customStyle="1">
    <w:name w:val="v1msonormal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B1559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15592"/>
    <w:rPr>
      <w:rFonts w:cs="Arial Unicode MS"/>
      <w:color w:val="000000"/>
      <w:sz w:val="24"/>
      <w:szCs w:val="24"/>
      <w:u w:color="000000"/>
      <w:lang w:val="en-US"/>
    </w:rPr>
  </w:style>
  <w:style w:type="table" w:styleId="Tabela-Siatka">
    <w:name w:val="Table Grid"/>
    <w:basedOn w:val="Standardowy"/>
    <w:uiPriority w:val="59"/>
    <w:rsid w:val="00B15592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J+qoIxq5sO1auOdUAVs54JNhA==">CgMxLjAyCGguZ2pkZ3hzOAByITExaldVbjhPQUlueVBTNVVTWXliaU1MeEthX0NCNllJUw==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2021-09-27T10:21:00Z</dcterms:created>
  <dc:creator>Krzysztof Skórski</dc:creator>
</cp:coreProperties>
</file>