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6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Dane podstawowe</w:t>
      </w:r>
    </w:p>
    <w:tbl>
      <w:tblPr>
        <w:tblStyle w:val="Table1"/>
        <w:tblW w:w="9747.0" w:type="dxa"/>
        <w:jc w:val="left"/>
        <w:tblInd w:w="1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Praktyczna nauka języka angielskiego-tłumaczenia konsekutywne i symultaniczne angielsko-polskie, polsko-angielskie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Practical English – English-Polish, Polish-English Consecutive and Simultaneous Interpreting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Kierunek studiów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Dyscyplina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Językoznawstwo, Literaturoznawstwo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wykładowy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tabs>
          <w:tab w:val="left" w:leader="none" w:pos="1080"/>
        </w:tabs>
        <w:spacing w:after="20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dr Ewelina Mokrosz / mgr Oskar Ostaszewski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80"/>
        <w:gridCol w:w="2100"/>
        <w:gridCol w:w="2080"/>
        <w:gridCol w:w="3487"/>
        <w:tblGridChange w:id="0">
          <w:tblGrid>
            <w:gridCol w:w="2080"/>
            <w:gridCol w:w="2100"/>
            <w:gridCol w:w="2080"/>
            <w:gridCol w:w="348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zajęć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semestr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wykład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7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konwersatorium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36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III, IV</w:t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laboratorium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warsztaty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seminarium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proseminarium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lektorat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praktyki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zajęcia terenowe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pracownia dyplomowa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translatorium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wizyta studyjna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widowControl w:val="0"/>
        <w:ind w:left="108" w:hanging="108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60"/>
        <w:gridCol w:w="7687"/>
        <w:tblGridChange w:id="0">
          <w:tblGrid>
            <w:gridCol w:w="2060"/>
            <w:gridCol w:w="768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Wymagania wstępne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Znajomość języka angielskiego na poziomie C1+/C2, wiedza ogólna</w:t>
            </w:r>
          </w:p>
        </w:tc>
      </w:tr>
    </w:tbl>
    <w:p w:rsidR="00000000" w:rsidDel="00000000" w:rsidP="00000000" w:rsidRDefault="00000000" w:rsidRPr="00000000" w14:paraId="00000051">
      <w:pPr>
        <w:spacing w:line="276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Cele kształcenia dla przedmiotu </w:t>
      </w:r>
    </w:p>
    <w:tbl>
      <w:tblPr>
        <w:tblStyle w:val="Table5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C1 Nabycie umiejętności tłumaczenia konsekutywnego oraz symultanicznego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C2 Nabycie umiejętności analizy oraz streszczenia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C3 Nabycie umiejętności pracy w różnych zakresach tematycznych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C4 Doskonalenia pamięci krótkotrwałej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C5 Zapoznanie się z różnymi technikami notacji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C6 Poznanie swoich mocnych i słabszych stron w dziedzinie tłumaczeń symultanicznych</w:t>
            </w:r>
          </w:p>
        </w:tc>
      </w:tr>
    </w:tbl>
    <w:p w:rsidR="00000000" w:rsidDel="00000000" w:rsidP="00000000" w:rsidRDefault="00000000" w:rsidRPr="00000000" w14:paraId="0000005A">
      <w:pPr>
        <w:widowControl w:val="0"/>
        <w:tabs>
          <w:tab w:val="left" w:leader="none" w:pos="1080"/>
        </w:tabs>
        <w:spacing w:after="200" w:lineRule="auto"/>
        <w:ind w:left="468" w:firstLine="0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38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66"/>
        <w:gridCol w:w="5470"/>
        <w:gridCol w:w="3050"/>
        <w:tblGridChange w:id="0">
          <w:tblGrid>
            <w:gridCol w:w="866"/>
            <w:gridCol w:w="5470"/>
            <w:gridCol w:w="3050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02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rozpoznaje błędy językowe w tłumaczeniach z uwzględnieniem różnic językowych pomiędzy językiem angielskim i językiem polskim.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K_W03, K_W06,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identyfikuje prawa autorskie w kontekście tłumaczeń ustnych.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K_W09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u w:val="none"/>
                <w:rtl w:val="0"/>
              </w:rPr>
              <w:t xml:space="preserve">Student identyfikuje umiejętności potrzebne do wykonywania zawodu tłumacza.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K_W10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umiejętnie korzysta ze słowników i innych źródeł tekstowych oraz właściwie porządkuje informacje potrzebne do wykonania tłumaczenia tekstu.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K_U03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tłumaczy ustnie wybrane teksty dotyczące wiedzy ogólnej oraz teksty specjalistyczne przy użyciu odpowiednich technik tłumaczeniowych.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K_U04, K_U05, K_U06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współpracuje z innymi osobami uczestniczącymi w procesie tłumaczenia zachowując profesjonalizm na płaszczyźnie zawodowej.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K_U08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gridSpan w:val="3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wyciąga wnioski z popełnionych błędów podczas tłumaczenia oraz prezentuje możliwe rozwiązania napotkanych problemów stosując się do zaleceń prowadzącego.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K_K01, K_K02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Student podejmuje się tłumaczeń adekwatnych do jego stanu wiedzy i przygotowania.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K_K03, K_K05, K_K06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widowControl w:val="0"/>
        <w:tabs>
          <w:tab w:val="left" w:leader="none" w:pos="1080"/>
        </w:tabs>
        <w:spacing w:after="20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0"/>
          <w:numId w:val="4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06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u w:val="none"/>
                <w:rtl w:val="0"/>
              </w:rPr>
              <w:t xml:space="preserve">Semestr I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Tłumaczenie konsekutywne a tłumaczenie symultaniczne, kryteria ewaluacji tłumaczeń ustnych, struktura przemówień, ćwiczenia z przemówieniami – aktywne słuchanie, słowa klucze, streszczanie, przeformułowanie, przygotowanie glosariusza, technika notacji (prezentacja, ćwiczenia).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200" w:lineRule="auto"/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a"/>
                <w:sz w:val="22"/>
                <w:szCs w:val="22"/>
                <w:u w:val="none"/>
                <w:rtl w:val="0"/>
              </w:rPr>
              <w:t xml:space="preserve">Semestr II</w:t>
            </w:r>
          </w:p>
          <w:p w:rsidR="00000000" w:rsidDel="00000000" w:rsidP="00000000" w:rsidRDefault="00000000" w:rsidRPr="00000000" w14:paraId="00000086">
            <w:pPr>
              <w:spacing w:after="20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Tłumaczenia symultaniczne – wstęp (shadowing), zapoznanie i ćwiczenie podstawowych umiejętności (podzielność uwagi, analiza,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umiejętność pracy zespołowej, umiejętność przygotowania się do tłumaczenia, strategia antycypacji, przygotowanie glosariusza), tłumaczenie tekstów narracyjnych, argumentacyjnych oraz technicznych o średnim oraz wysokim stopniu terminologizacji.</w:t>
            </w:r>
          </w:p>
        </w:tc>
      </w:tr>
    </w:tbl>
    <w:p w:rsidR="00000000" w:rsidDel="00000000" w:rsidP="00000000" w:rsidRDefault="00000000" w:rsidRPr="00000000" w14:paraId="00000087">
      <w:pPr>
        <w:widowControl w:val="0"/>
        <w:pBdr>
          <w:top w:space="0" w:sz="0" w:val="nil"/>
        </w:pBdr>
        <w:tabs>
          <w:tab w:val="left" w:leader="none" w:pos="1080"/>
        </w:tabs>
        <w:spacing w:after="20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</w:pBdr>
        <w:spacing w:after="200" w:line="276" w:lineRule="auto"/>
        <w:ind w:left="0" w:firstLine="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  V.</w:t>
        <w:tab/>
        <w:t xml:space="preserve">Metody realizacji i weryfikacji efektów uczenia się </w:t>
      </w:r>
    </w:p>
    <w:tbl>
      <w:tblPr>
        <w:tblStyle w:val="Table8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0"/>
        <w:gridCol w:w="2460"/>
        <w:gridCol w:w="2620"/>
        <w:gridCol w:w="3767"/>
        <w:tblGridChange w:id="0">
          <w:tblGrid>
            <w:gridCol w:w="900"/>
            <w:gridCol w:w="2460"/>
            <w:gridCol w:w="2620"/>
            <w:gridCol w:w="3767"/>
          </w:tblGrid>
        </w:tblGridChange>
      </w:tblGrid>
      <w:tr>
        <w:trPr>
          <w:cantSplit w:val="0"/>
          <w:trHeight w:val="205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200" w:line="276" w:lineRule="auto"/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Symbol efektu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dydaktyczne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Metody weryfikacji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WIEDZA</w:t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z tekstem, studium przypadku, 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zagadnień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odpowiedź ustna w czasie zajęć i informacja zwrotna od grupy lub/i prowadzącego; zaliczenia na koniec semestru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nagrane tłumaczenia studentów</w:t>
            </w:r>
          </w:p>
        </w:tc>
      </w:tr>
      <w:tr>
        <w:trPr>
          <w:cantSplit w:val="0"/>
          <w:trHeight w:val="591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nagrane tłumaczenia studentów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W_03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z tekstem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 i informacja zwrotna od grupy lub prowadzącego; zaliczenie na koniec semestru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nagrane tłumaczenia studentów</w:t>
            </w:r>
          </w:p>
        </w:tc>
      </w:tr>
    </w:tbl>
    <w:p w:rsidR="00000000" w:rsidDel="00000000" w:rsidP="00000000" w:rsidRDefault="00000000" w:rsidRPr="00000000" w14:paraId="000000A0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0"/>
        <w:gridCol w:w="2460"/>
        <w:gridCol w:w="2620"/>
        <w:gridCol w:w="3767"/>
        <w:tblGridChange w:id="0">
          <w:tblGrid>
            <w:gridCol w:w="900"/>
            <w:gridCol w:w="2460"/>
            <w:gridCol w:w="2620"/>
            <w:gridCol w:w="3767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68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burza mózgów, dyskusja, praca indywidualna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odpowiedź ustna i informacja zwrotna od grupy lub prowadzącego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zapis w arkuszu ocen w postaci plusa/minusa, nagrane tłumaczenia studentów</w:t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ćwiczenia praktyczne, dyskusja, praca indywidualna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monitorowanie, odpowiedź ustna i informacja zwrotna od grupy lub prowadzącego, zaliczenie na koniec semestru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nagrane tłumaczenia studentów</w:t>
            </w:r>
          </w:p>
        </w:tc>
      </w:tr>
      <w:tr>
        <w:trPr>
          <w:cantSplit w:val="0"/>
          <w:trHeight w:val="1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U_03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w parach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 i informacja zwrotna od grupy lub prowadzącego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nagrane tłumaczenia studentów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K_01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dyskusja, praca w parach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 i informacja zwrotna od grupy lub prowadzącego; odpowiedź ustna w czasie zajęć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nagrane tłumaczenia studentów</w:t>
            </w:r>
          </w:p>
        </w:tc>
      </w:tr>
      <w:tr>
        <w:trPr>
          <w:cantSplit w:val="0"/>
          <w:trHeight w:val="376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K_02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dyskusja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monitorowanie i informacja zwrotna od grupy lub prowadzącego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nagrane tłumaczenia studentów</w:t>
            </w:r>
          </w:p>
        </w:tc>
      </w:tr>
    </w:tbl>
    <w:p w:rsidR="00000000" w:rsidDel="00000000" w:rsidP="00000000" w:rsidRDefault="00000000" w:rsidRPr="00000000" w14:paraId="000000BD">
      <w:pPr>
        <w:widowControl w:val="0"/>
        <w:tabs>
          <w:tab w:val="left" w:leader="none" w:pos="1080"/>
        </w:tabs>
        <w:spacing w:after="20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3"/>
        </w:numPr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Kryteria oceny, wagi…</w:t>
      </w:r>
    </w:p>
    <w:p w:rsidR="00000000" w:rsidDel="00000000" w:rsidP="00000000" w:rsidRDefault="00000000" w:rsidRPr="00000000" w14:paraId="000000BF">
      <w:pPr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Studenci oceniani są na podstawie tłumaczeń dwóch przemówień w każdym semestrze. Ocena końcowa w każdym semestrze to średnia ocen z każdego tłumaczenia. Przy ewaluacji tłumaczenia brane są pod uwagę następujące kryteria: treść, poprawność językowa oraz technika prezentacji. W pierwszym semestrze wykonanie dwóch prac domowych oraz podejście do zaliczenia zapewnia na koniec semestru ocenę 3.0.</w:t>
      </w:r>
    </w:p>
    <w:p w:rsidR="00000000" w:rsidDel="00000000" w:rsidP="00000000" w:rsidRDefault="00000000" w:rsidRPr="00000000" w14:paraId="000000C0">
      <w:pPr>
        <w:spacing w:after="100" w:before="100" w:lineRule="auto"/>
        <w:ind w:right="-573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Student ma obowiązek na każde zajęcia (stacjonarne i online) być zaopatrzony w działające prawidłowo słuchawki oraz dyktafon w celu nagrania i odsłuchania własnego tłumaczenia. </w:t>
      </w:r>
    </w:p>
    <w:p w:rsidR="00000000" w:rsidDel="00000000" w:rsidP="00000000" w:rsidRDefault="00000000" w:rsidRPr="00000000" w14:paraId="000000C1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W przypadku zajęć online: Dodatkowo student ma obowiązek podczas każdych zajęć używać działających prawidłowo kamery, mikrofonu oraz słuchawek.</w:t>
      </w:r>
    </w:p>
    <w:p w:rsidR="00000000" w:rsidDel="00000000" w:rsidP="00000000" w:rsidRDefault="00000000" w:rsidRPr="00000000" w14:paraId="000000C2">
      <w:pPr>
        <w:spacing w:after="100" w:before="100" w:line="276" w:lineRule="auto"/>
        <w:jc w:val="both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sz w:val="22"/>
          <w:szCs w:val="22"/>
          <w:rtl w:val="0"/>
        </w:rPr>
        <w:t xml:space="preserve">Jeśli student przedstawi swoje tłumaczenie, które zostało w istotnym stopniu stworzone przez translator internetowy, skutkuje to otrzymaniem za tę pracę oceny niedostatecznej bez możliwości poprawy.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VII. </w:t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420"/>
        <w:gridCol w:w="5327"/>
        <w:tblGridChange w:id="0">
          <w:tblGrid>
            <w:gridCol w:w="4420"/>
            <w:gridCol w:w="532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36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a"/>
                <w:sz w:val="22"/>
                <w:szCs w:val="22"/>
                <w:u w:val="none"/>
                <w:rtl w:val="0"/>
              </w:rPr>
              <w:t xml:space="preserve">174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numPr>
          <w:ilvl w:val="0"/>
          <w:numId w:val="5"/>
        </w:numPr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Literatura</w:t>
      </w:r>
    </w:p>
    <w:tbl>
      <w:tblPr>
        <w:tblStyle w:val="Table11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200"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63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Florczak, J.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Tłumaczenia symultaniczne i konsekutywne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Warszawa: C.H. Beck Sp. z o.o.</w:t>
            </w:r>
          </w:p>
          <w:p w:rsidR="00000000" w:rsidDel="00000000" w:rsidP="00000000" w:rsidRDefault="00000000" w:rsidRPr="00000000" w14:paraId="000000CF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Gillies, A.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Conference Interpreting: A Student's Practice Book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New York: Routledge.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3001" w:hRule="atLeast"/>
          <w:tblHeader w:val="0"/>
        </w:trPr>
        <w:tc>
          <w:tcPr>
            <w:tcBorders>
              <w:top w:color="000001" w:space="0" w:sz="8" w:val="single"/>
              <w:left w:color="000001" w:space="0" w:sz="8" w:val="single"/>
              <w:bottom w:color="000001" w:space="0" w:sz="8" w:val="single"/>
              <w:right w:color="000001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Giles, D. 2009.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Basic Concepts and Models for Interpreter and Translator Training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Amsterdam/Philadelphia: John Benjamins Publishing Company.</w:t>
            </w:r>
          </w:p>
          <w:p w:rsidR="00000000" w:rsidDel="00000000" w:rsidP="00000000" w:rsidRDefault="00000000" w:rsidRPr="00000000" w14:paraId="000000D2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Korzeniowska, A.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Successful Polish-English translation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Warszawa: Wydaw. Naukowe PWN.</w:t>
            </w:r>
          </w:p>
          <w:p w:rsidR="00000000" w:rsidDel="00000000" w:rsidP="00000000" w:rsidRDefault="00000000" w:rsidRPr="00000000" w14:paraId="000000D3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Kozłowska, C. D. 2012.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Difficult words in Polish-English translation = Wyrazy i wyrażenia trudne do przetłumaczenia na język angielski.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Warszawa: Wydawnictwo Naukowe PWN.</w:t>
            </w:r>
          </w:p>
          <w:p w:rsidR="00000000" w:rsidDel="00000000" w:rsidP="00000000" w:rsidRDefault="00000000" w:rsidRPr="00000000" w14:paraId="000000D4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Kruk-Junger, K. 2013.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Przekład ustny środowiskowy: teoria, normy, praktyka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Bielsko-Biała: Wydawnictwo Naukowe Akademii Techniczno-Humanistycznej.</w:t>
            </w:r>
          </w:p>
          <w:p w:rsidR="00000000" w:rsidDel="00000000" w:rsidP="00000000" w:rsidRDefault="00000000" w:rsidRPr="00000000" w14:paraId="000000D5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Nolan, J. 2005.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Interpretation. Techniques and exercises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Clevedon, Buffalo, Toronto: Multilingual Matters LTD.</w:t>
            </w:r>
          </w:p>
          <w:p w:rsidR="00000000" w:rsidDel="00000000" w:rsidP="00000000" w:rsidRDefault="00000000" w:rsidRPr="00000000" w14:paraId="000000D6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Tryuk, M. 2006.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Przekład ustny środowiskowy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Warszawa:  Wydawnictwo Naukowe PWN.</w:t>
            </w:r>
          </w:p>
          <w:p w:rsidR="00000000" w:rsidDel="00000000" w:rsidP="00000000" w:rsidRDefault="00000000" w:rsidRPr="00000000" w14:paraId="000000D7">
            <w:pPr>
              <w:spacing w:line="276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Tryuk, M. 2007.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2"/>
                <w:szCs w:val="22"/>
                <w:rtl w:val="0"/>
              </w:rPr>
              <w:t xml:space="preserve">Przekład ustny konferencyjny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. Warszawa: Wydawnictwo Naukowe PWN.</w:t>
            </w:r>
          </w:p>
        </w:tc>
      </w:tr>
    </w:tbl>
    <w:p w:rsidR="00000000" w:rsidDel="00000000" w:rsidP="00000000" w:rsidRDefault="00000000" w:rsidRPr="00000000" w14:paraId="000000D8">
      <w:pPr>
        <w:widowControl w:val="0"/>
        <w:tabs>
          <w:tab w:val="left" w:leader="none" w:pos="1080"/>
        </w:tabs>
        <w:spacing w:after="200" w:lineRule="auto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rFonts w:ascii="Calibri" w:cs="Calibri" w:eastAsia="Calibri" w:hAnsi="Calibri"/>
      <w:color w:val="000000"/>
      <w:sz w:val="24"/>
      <w:szCs w:val="24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5"/>
      </w:numPr>
    </w:pPr>
  </w:style>
  <w:style w:type="numbering" w:styleId="ImportedStyle3" w:customStyle="1">
    <w:name w:val="Imported Style 3"/>
    <w:pPr>
      <w:numPr>
        <w:numId w:val="9"/>
      </w:numPr>
    </w:pPr>
  </w:style>
  <w:style w:type="numbering" w:styleId="ImportedStyle4" w:customStyle="1">
    <w:name w:val="Imported Style 4"/>
    <w:pPr>
      <w:numPr>
        <w:numId w:val="13"/>
      </w:numPr>
    </w:pPr>
  </w:style>
  <w:style w:type="numbering" w:styleId="ImportedStyle5" w:customStyle="1">
    <w:name w:val="Imported Style 5"/>
    <w:pPr>
      <w:numPr>
        <w:numId w:val="17"/>
      </w:numPr>
    </w:pPr>
  </w:style>
  <w:style w:type="numbering" w:styleId="ImportedStyle6" w:customStyle="1">
    <w:name w:val="Imported Style 6"/>
    <w:pPr>
      <w:numPr>
        <w:numId w:val="20"/>
      </w:numPr>
    </w:pPr>
  </w:style>
  <w:style w:type="paragraph" w:styleId="Akapitzlist">
    <w:name w:val="List Paragraph"/>
    <w:pPr>
      <w:ind w:left="720"/>
    </w:pPr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7" w:customStyle="1">
    <w:name w:val="Imported Style 7"/>
    <w:pPr>
      <w:numPr>
        <w:numId w:val="25"/>
      </w:numPr>
    </w:pPr>
  </w:style>
  <w:style w:type="paragraph" w:styleId="Stopka">
    <w:name w:val="footer"/>
    <w:basedOn w:val="Normalny"/>
    <w:link w:val="StopkaZnak"/>
    <w:uiPriority w:val="99"/>
    <w:unhideWhenUsed w:val="1"/>
    <w:rsid w:val="00CE7697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CE7697"/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3IhWUhQ8bgB/8OGoiNLApJXA4A==">CgMxLjAyCGguZ2pkZ3hzOAByITFmQ2E3Nm1ld0E4bEFBTV9zUnJaMGsxNmNjYW9aM252eg==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2021-09-27T10:49:00Z</dcterms:created>
  <dc:creator>Krzysztof Skórski</dc:creator>
</cp:coreProperties>
</file>