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F9" w:rsidRDefault="00344799" w14:paraId="22F690F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 w:rsidRPr="17D7F4C2" w:rsidR="00344799">
        <w:rPr>
          <w:rFonts w:ascii="Times New Roman" w:hAnsi="Times New Roman" w:eastAsia="Times New Roman"/>
          <w:b w:val="1"/>
          <w:bCs w:val="1"/>
        </w:rPr>
        <w:t xml:space="preserve">KARTA PRZEDMIOTU </w:t>
      </w:r>
    </w:p>
    <w:p w:rsidR="00A95AF9" w:rsidP="17D7F4C2" w:rsidRDefault="00A95AF9" w14:paraId="672A6659" w14:textId="732962F0">
      <w:pPr>
        <w:pStyle w:val="Normalny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 w:color="000000" w:sz="0" w:spac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  <w:r w:rsidRPr="17D7F4C2" w:rsidR="7BFB4E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Cykl od roku 2024/2025</w:t>
      </w:r>
    </w:p>
    <w:p w:rsidR="00A95AF9" w:rsidRDefault="00344799" w14:paraId="57EC3F97" w14:textId="7777777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>
        <w:rPr>
          <w:rFonts w:ascii="Times New Roman" w:hAnsi="Times New Roman" w:eastAsia="Times New Roman"/>
          <w:b/>
          <w:szCs w:val="22"/>
        </w:rPr>
        <w:t>Dane podstawowe</w:t>
      </w:r>
    </w:p>
    <w:tbl>
      <w:tblPr>
        <w:tblStyle w:val="a9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32"/>
        <w:gridCol w:w="4407"/>
      </w:tblGrid>
      <w:tr w:rsidR="00A95AF9" w14:paraId="62C6619D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970156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Nazwa przedmiotu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1A2F6C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Podstawy dydaktyki</w:t>
            </w:r>
          </w:p>
        </w:tc>
      </w:tr>
      <w:tr w:rsidR="00A95AF9" w14:paraId="03D0037C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76DD01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Nazwa przedmiotu w języku angielskim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DE1422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proofErr w:type="spellStart"/>
            <w:r>
              <w:rPr>
                <w:rFonts w:ascii="Times New Roman" w:hAnsi="Times New Roman" w:eastAsia="Times New Roman"/>
                <w:szCs w:val="22"/>
              </w:rPr>
              <w:t>Introduction</w:t>
            </w:r>
            <w:proofErr w:type="spellEnd"/>
            <w:r>
              <w:rPr>
                <w:rFonts w:ascii="Times New Roman" w:hAnsi="Times New Roman" w:eastAsia="Times New Roman"/>
                <w:szCs w:val="22"/>
              </w:rPr>
              <w:t xml:space="preserve"> to </w:t>
            </w:r>
            <w:proofErr w:type="spellStart"/>
            <w:r>
              <w:rPr>
                <w:rFonts w:ascii="Times New Roman" w:hAnsi="Times New Roman" w:eastAsia="Times New Roman"/>
                <w:szCs w:val="22"/>
              </w:rPr>
              <w:t>teaching</w:t>
            </w:r>
            <w:proofErr w:type="spellEnd"/>
            <w:r>
              <w:rPr>
                <w:rFonts w:ascii="Times New Roman" w:hAnsi="Times New Roman" w:eastAsia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/>
                <w:szCs w:val="22"/>
              </w:rPr>
              <w:t>methodology</w:t>
            </w:r>
            <w:proofErr w:type="spellEnd"/>
          </w:p>
        </w:tc>
      </w:tr>
      <w:tr w:rsidR="00A95AF9" w14:paraId="55B24D66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C83C57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Kierunek studiów 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39A3107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filologia angielska</w:t>
            </w:r>
          </w:p>
        </w:tc>
      </w:tr>
      <w:tr w:rsidRPr="00D1334A" w:rsidR="00A95AF9" w14:paraId="03D7DB40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0CF80D9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Poziom studiów (I, II, jednolite magisterskie)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7F83DA7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II</w:t>
            </w:r>
          </w:p>
        </w:tc>
      </w:tr>
      <w:tr w:rsidRPr="00D1334A" w:rsidR="00A95AF9" w14:paraId="5BCE5E1F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143EFEA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Forma studiów (stacjonarne, niestacjonarne)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5C7FA26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/>
                <w:szCs w:val="22"/>
              </w:rPr>
              <w:t>nie</w:t>
            </w:r>
            <w:r w:rsidRPr="00D1334A">
              <w:rPr>
                <w:rFonts w:ascii="Times New Roman" w:hAnsi="Times New Roman" w:eastAsia="Times New Roman"/>
                <w:szCs w:val="22"/>
              </w:rPr>
              <w:t>stacjonarne</w:t>
            </w:r>
          </w:p>
        </w:tc>
      </w:tr>
      <w:tr w:rsidRPr="00D1334A" w:rsidR="00A95AF9" w14:paraId="7678DD1E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1FF4ED1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Dyscyplina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32BA00C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językoznawstwo</w:t>
            </w:r>
          </w:p>
        </w:tc>
      </w:tr>
      <w:tr w:rsidRPr="00D1334A" w:rsidR="00A95AF9" w14:paraId="117EC01B" w14:textId="77777777">
        <w:trPr>
          <w:cantSplit/>
          <w:trHeight w:val="397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13A990D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Język wykładowy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73E9F3A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Język angielski</w:t>
            </w:r>
          </w:p>
        </w:tc>
      </w:tr>
    </w:tbl>
    <w:p w:rsidRPr="00D1334A" w:rsidR="00A95AF9" w:rsidRDefault="00A95AF9" w14:paraId="0A37501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0" w:hanging="2"/>
        <w:rPr>
          <w:rFonts w:ascii="Times New Roman" w:hAnsi="Times New Roman" w:eastAsia="Times New Roman"/>
          <w:szCs w:val="22"/>
        </w:rPr>
      </w:pPr>
    </w:p>
    <w:tbl>
      <w:tblPr>
        <w:tblStyle w:val="aa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36"/>
        <w:gridCol w:w="4403"/>
      </w:tblGrid>
      <w:tr w:rsidRPr="00D1334A" w:rsidR="00A95AF9" w14:paraId="10062F99" w14:textId="77777777">
        <w:trPr>
          <w:cantSplit/>
          <w:trHeight w:val="397"/>
        </w:trPr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42EF1AB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 w:eastAsia="Times New Roman"/>
                <w:szCs w:val="22"/>
              </w:rPr>
              <w:t>Koordynator przedmiotu/osoba odpowiedzialna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1334A" w:rsidR="00A95AF9" w:rsidRDefault="00344799" w14:paraId="701C7A4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D1334A">
              <w:rPr>
                <w:rFonts w:ascii="Times New Roman" w:hAnsi="Times New Roman"/>
                <w:szCs w:val="22"/>
              </w:rPr>
              <w:t>d</w:t>
            </w:r>
            <w:r w:rsidRPr="00D1334A">
              <w:rPr>
                <w:rFonts w:ascii="Times New Roman" w:hAnsi="Times New Roman" w:eastAsia="Times New Roman"/>
                <w:szCs w:val="22"/>
              </w:rPr>
              <w:t xml:space="preserve">r </w:t>
            </w:r>
            <w:proofErr w:type="spellStart"/>
            <w:r w:rsidRPr="00D1334A">
              <w:rPr>
                <w:rFonts w:ascii="Times New Roman" w:hAnsi="Times New Roman"/>
                <w:szCs w:val="22"/>
              </w:rPr>
              <w:t>Tetiana</w:t>
            </w:r>
            <w:proofErr w:type="spellEnd"/>
            <w:r w:rsidRPr="00D1334A">
              <w:rPr>
                <w:rFonts w:ascii="Times New Roman" w:hAnsi="Times New Roman"/>
                <w:szCs w:val="22"/>
              </w:rPr>
              <w:t xml:space="preserve"> Derkacz-</w:t>
            </w:r>
            <w:proofErr w:type="spellStart"/>
            <w:r w:rsidRPr="00D1334A">
              <w:rPr>
                <w:rFonts w:ascii="Times New Roman" w:hAnsi="Times New Roman"/>
                <w:szCs w:val="22"/>
              </w:rPr>
              <w:t>Padiasek</w:t>
            </w:r>
            <w:proofErr w:type="spellEnd"/>
          </w:p>
        </w:tc>
      </w:tr>
    </w:tbl>
    <w:p w:rsidR="00A95AF9" w:rsidRDefault="00A95AF9" w14:paraId="5DAB6C7B" w14:textId="777777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tbl>
      <w:tblPr>
        <w:tblStyle w:val="ab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28"/>
        <w:gridCol w:w="2202"/>
        <w:gridCol w:w="2206"/>
        <w:gridCol w:w="2203"/>
      </w:tblGrid>
      <w:tr w:rsidR="00A95AF9" w14:paraId="40BF72ED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210DDE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Forma zajęć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C32A60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Liczba godzin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71862DD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semestr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3ECF9A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Punkty ECTS</w:t>
            </w:r>
          </w:p>
        </w:tc>
      </w:tr>
      <w:tr w:rsidR="00A95AF9" w14:paraId="6EEF2E91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9CCF9E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wykład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D1334A" w:rsidRDefault="00344799" w14:paraId="219897C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D1334A" w:rsidRDefault="00344799" w14:paraId="2906B3E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I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18F999B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2</w:t>
            </w:r>
          </w:p>
        </w:tc>
      </w:tr>
      <w:tr w:rsidR="00A95AF9" w14:paraId="3F1C56C9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69C77C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konwersatorium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2EB378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6A05A80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5A39B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7F626B56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4C6456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ćwiczenia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41C8F39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72A3D3E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0D0B94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71E8B11E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76A2162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laboratorium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E27B00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60061E4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44EAFD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6CF964B4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E7AD2F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warsztaty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4B94D5A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3DEEC66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3656B9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57F876BF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72117D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seminarium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45FB081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49F31C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53128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05151DAF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502866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proseminarium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62486C0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4101652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4B9905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054DCFD3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7E45EA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lektorat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1299C43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4DDBEF0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3461D7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1E8DC59B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CA1A1B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praktyki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3CF2D8B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FB7827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1FC39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14330E84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8D6F0D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zajęcia terenowe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562CB0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34CE0A4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62EBF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659EACB0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642EF0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pracownia dyplomowa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6D98A12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2946DB8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5997CC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46AEF283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B057EE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proofErr w:type="spellStart"/>
            <w:r>
              <w:rPr>
                <w:rFonts w:ascii="Times New Roman" w:hAnsi="Times New Roman" w:eastAsia="Times New Roman"/>
                <w:szCs w:val="22"/>
              </w:rPr>
              <w:t>translatorium</w:t>
            </w:r>
            <w:proofErr w:type="spellEnd"/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110FFD3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6B69937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3FE9F2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  <w:tr w:rsidR="00A95AF9" w14:paraId="4C824B0F" w14:textId="77777777">
        <w:trPr>
          <w:cantSplit/>
          <w:trHeight w:val="397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684F9E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wizyta studyjna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1F72F64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 w14:paraId="08CE6F9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 w14:paraId="61CDCE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</w:tr>
    </w:tbl>
    <w:p w:rsidR="00A95AF9" w:rsidRDefault="00A95AF9" w14:paraId="6BB9E253" w14:textId="777777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tbl>
      <w:tblPr>
        <w:tblStyle w:val="ac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61"/>
        <w:gridCol w:w="6678"/>
      </w:tblGrid>
      <w:tr w:rsidR="00A95AF9" w14:paraId="6479B469" w14:textId="77777777">
        <w:trPr>
          <w:cantSplit/>
          <w:trHeight w:val="397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191DBA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Wymagania wstępne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2E2021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Znajomość języka angielskiego na poziomie biegłości C1 (ESOKJ)</w:t>
            </w:r>
          </w:p>
        </w:tc>
      </w:tr>
    </w:tbl>
    <w:p w:rsidR="00A95AF9" w:rsidRDefault="00A95AF9" w14:paraId="23DE523C" w14:textId="777777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p w:rsidR="00A95AF9" w:rsidRDefault="00344799" w14:paraId="0020451A" w14:textId="77777777">
      <w:pPr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  <w:r>
        <w:br w:type="page"/>
      </w:r>
      <w:r>
        <w:rPr>
          <w:rFonts w:ascii="Times New Roman" w:hAnsi="Times New Roman" w:eastAsia="Times New Roman"/>
          <w:b/>
          <w:szCs w:val="22"/>
        </w:rPr>
        <w:lastRenderedPageBreak/>
        <w:t xml:space="preserve">Cele kształcenia dla przedmiotu </w:t>
      </w:r>
    </w:p>
    <w:tbl>
      <w:tblPr>
        <w:tblStyle w:val="ad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839"/>
      </w:tblGrid>
      <w:tr w:rsidR="00A95AF9" w14:paraId="546E6B79" w14:textId="77777777">
        <w:trPr>
          <w:cantSplit/>
          <w:trHeight w:val="520"/>
        </w:trPr>
        <w:tc>
          <w:tcPr>
            <w:tcW w:w="8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184F4E" w:rsidRDefault="00344799" w14:paraId="54794DE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C1 Uzyskanie wiedzy w zakresie zadań współczesnej dydaktyki oraz współczesnych koncepcji nauczania oraz ich odniesienia do dydaktyki szczegółowej</w:t>
            </w:r>
          </w:p>
        </w:tc>
      </w:tr>
      <w:tr w:rsidR="00A95AF9" w14:paraId="58F0597A" w14:textId="77777777">
        <w:trPr>
          <w:cantSplit/>
          <w:trHeight w:val="480"/>
        </w:trPr>
        <w:tc>
          <w:tcPr>
            <w:tcW w:w="8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184F4E" w:rsidRDefault="00344799" w14:paraId="02CC8BD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C2 Nabycie umiejętności w zakresie projektowania działań edukacyjnych oraz oceniania w kontekście efektywności nauczania</w:t>
            </w:r>
          </w:p>
        </w:tc>
      </w:tr>
      <w:tr w:rsidR="00A95AF9" w14:paraId="42685578" w14:textId="77777777">
        <w:trPr>
          <w:cantSplit/>
          <w:trHeight w:val="480"/>
        </w:trPr>
        <w:tc>
          <w:tcPr>
            <w:tcW w:w="8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184F4E" w:rsidRDefault="00344799" w14:paraId="33960EC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C3 Nabycie umiejętności zidentyfikowania potrzeb dostosowania metod pracy do klasy zróżnicowanej pod względem poznawczym, kulturowym, statusu społecznego lub materialnego</w:t>
            </w:r>
          </w:p>
        </w:tc>
      </w:tr>
    </w:tbl>
    <w:p w:rsidR="00A95AF9" w:rsidRDefault="00A95AF9" w14:paraId="52E5622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p w:rsidR="00A95AF9" w:rsidRDefault="00344799" w14:paraId="2E14E842" w14:textId="7777777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>
        <w:rPr>
          <w:rFonts w:ascii="Times New Roman" w:hAnsi="Times New Roman" w:eastAsia="Times New Roman"/>
          <w:b/>
          <w:szCs w:val="22"/>
        </w:rPr>
        <w:t>Efekty uczenia się dla przedmiotu wraz z odniesieniem do efektów kierunkowych</w:t>
      </w:r>
    </w:p>
    <w:tbl>
      <w:tblPr>
        <w:tblStyle w:val="ae"/>
        <w:tblW w:w="88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67"/>
        <w:gridCol w:w="5686"/>
        <w:gridCol w:w="2087"/>
      </w:tblGrid>
      <w:tr w:rsidR="00A95AF9" w:rsidTr="67D53FDF" w14:paraId="67DB3E99" w14:textId="77777777">
        <w:trPr>
          <w:cantSplit/>
          <w:trHeight w:val="90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3D78E66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Symbol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63ED0BF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Opis efektu przedmiotowego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7EC368F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Odniesienie do efektu kierunkowego</w:t>
            </w:r>
          </w:p>
        </w:tc>
      </w:tr>
      <w:tr w:rsidR="00A95AF9" w:rsidTr="67D53FDF" w14:paraId="631EAA1C" w14:textId="77777777">
        <w:trPr>
          <w:cantSplit/>
          <w:trHeight w:val="420"/>
        </w:trPr>
        <w:tc>
          <w:tcPr>
            <w:tcW w:w="884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F67003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WIEDZA</w:t>
            </w:r>
          </w:p>
        </w:tc>
      </w:tr>
      <w:tr w:rsidR="00A95AF9" w:rsidTr="67D53FDF" w14:paraId="7A1A9D3B" w14:textId="77777777">
        <w:trPr>
          <w:cantSplit/>
          <w:trHeight w:val="641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7963DC2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W_01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6280850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opisuje miejsce dydaktyki w zakresie pedagogiki oraz relację dydaktyki ogólnej do dydaktyk szczegółowych;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5D1867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C.W1.  C.W2. </w:t>
            </w:r>
          </w:p>
        </w:tc>
      </w:tr>
      <w:tr w:rsidR="00A95AF9" w:rsidTr="67D53FDF" w14:paraId="6FB9517C" w14:textId="77777777">
        <w:trPr>
          <w:cantSplit/>
          <w:trHeight w:val="48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942DD3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W_02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4F0DC70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opisuje współczesne koncepcje nauczania i cele kształcenia;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8F5150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C.W3. C.W4. </w:t>
            </w:r>
          </w:p>
        </w:tc>
      </w:tr>
      <w:tr w:rsidR="00A95AF9" w:rsidTr="67D53FDF" w14:paraId="13C9AC68" w14:textId="77777777">
        <w:trPr>
          <w:cantSplit/>
          <w:trHeight w:val="74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2ED480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W_03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3817C5A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Student wymienia etapy lekcji oraz dyskutuje zagadnienie lekcji jako jednostki dydaktycznej oraz jej budowę, modele lekcji i </w:t>
            </w:r>
            <w:proofErr w:type="spellStart"/>
            <w:r>
              <w:rPr>
                <w:rFonts w:ascii="Times New Roman" w:hAnsi="Times New Roman" w:eastAsia="Times New Roman"/>
                <w:szCs w:val="22"/>
              </w:rPr>
              <w:t>sztuke</w:t>
            </w:r>
            <w:proofErr w:type="spellEnd"/>
            <w:r>
              <w:rPr>
                <w:rFonts w:ascii="Times New Roman" w:hAnsi="Times New Roman" w:eastAsia="Times New Roman"/>
                <w:szCs w:val="22"/>
              </w:rPr>
              <w:t xml:space="preserve"> prowadzenia lekcji;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4E73C5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C.W5.  </w:t>
            </w:r>
          </w:p>
        </w:tc>
      </w:tr>
      <w:tr w:rsidR="00A95AF9" w:rsidTr="67D53FDF" w14:paraId="270AD7CD" w14:textId="77777777">
        <w:trPr>
          <w:cantSplit/>
          <w:trHeight w:val="74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BF99DB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W_04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2F443BB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opisuje sposoby i znaczenie oceniania osiągnięć szkolnych uczniów.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67D53FDF" w:rsidRDefault="00344799" w14:paraId="577ED785" w14:textId="67483A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</w:rPr>
            </w:pPr>
            <w:r w:rsidRPr="67D53FDF">
              <w:rPr>
                <w:rFonts w:ascii="Times New Roman" w:hAnsi="Times New Roman" w:eastAsia="Times New Roman"/>
              </w:rPr>
              <w:t xml:space="preserve">C.W6. </w:t>
            </w:r>
          </w:p>
        </w:tc>
      </w:tr>
      <w:tr w:rsidR="00A95AF9" w:rsidTr="67D53FDF" w14:paraId="255372A9" w14:textId="77777777">
        <w:trPr>
          <w:cantSplit/>
          <w:trHeight w:val="420"/>
        </w:trPr>
        <w:tc>
          <w:tcPr>
            <w:tcW w:w="884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3885E29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UMIEJĘTNOŚCI</w:t>
            </w:r>
          </w:p>
        </w:tc>
      </w:tr>
      <w:tr w:rsidR="00A95AF9" w:rsidTr="67D53FDF" w14:paraId="5B61E113" w14:textId="77777777">
        <w:trPr>
          <w:cantSplit/>
          <w:trHeight w:val="641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414C5A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U_01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4E4BB0D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dobiera metody nauczania do potrzeb uczniów i nauczanych treści;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99D474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 xml:space="preserve">C.U1., C.U3. </w:t>
            </w:r>
          </w:p>
        </w:tc>
      </w:tr>
      <w:tr w:rsidR="00A95AF9" w:rsidTr="67D53FDF" w14:paraId="1D1D9393" w14:textId="77777777">
        <w:trPr>
          <w:cantSplit/>
          <w:trHeight w:val="42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8A868E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U_02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56E14CD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wybiera model lekcji i projektuje jej strukturę;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2F7894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C.U4</w:t>
            </w:r>
          </w:p>
        </w:tc>
      </w:tr>
      <w:tr w:rsidR="00A95AF9" w:rsidTr="67D53FDF" w14:paraId="2FAC7C6C" w14:textId="77777777">
        <w:trPr>
          <w:cantSplit/>
          <w:trHeight w:val="48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28EF0AE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U_03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48A00BE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dokonuje oceny pracy ucznia i prezentuje ją w formie oceny kształtującej;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C4281D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C.U6</w:t>
            </w:r>
          </w:p>
        </w:tc>
      </w:tr>
      <w:tr w:rsidR="00A95AF9" w:rsidTr="67D53FDF" w14:paraId="23FA4D87" w14:textId="77777777">
        <w:trPr>
          <w:cantSplit/>
          <w:trHeight w:val="48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031EFE" w14:paraId="7210888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U_06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3276361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planuje pracę z uczniem zdolnym.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67D53FDF" w:rsidRDefault="00344799" w14:paraId="59F6B1AA" w14:textId="4E712B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</w:rPr>
            </w:pPr>
            <w:r w:rsidRPr="67D53FDF">
              <w:rPr>
                <w:rFonts w:ascii="Times New Roman" w:hAnsi="Times New Roman" w:eastAsia="Times New Roman"/>
              </w:rPr>
              <w:t>C.U</w:t>
            </w:r>
            <w:r w:rsidR="003C2F13">
              <w:rPr>
                <w:rFonts w:ascii="Times New Roman" w:hAnsi="Times New Roman" w:eastAsia="Times New Roman"/>
              </w:rPr>
              <w:t>2</w:t>
            </w:r>
          </w:p>
        </w:tc>
      </w:tr>
      <w:tr w:rsidR="00A95AF9" w:rsidTr="67D53FDF" w14:paraId="10322A71" w14:textId="77777777">
        <w:trPr>
          <w:cantSplit/>
          <w:trHeight w:val="420"/>
        </w:trPr>
        <w:tc>
          <w:tcPr>
            <w:tcW w:w="884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7AA6A8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KOMPETENCJE SPOŁECZNE</w:t>
            </w:r>
          </w:p>
        </w:tc>
      </w:tr>
      <w:tr w:rsidR="00A95AF9" w:rsidTr="67D53FDF" w14:paraId="75B0F722" w14:textId="77777777">
        <w:trPr>
          <w:cantSplit/>
          <w:trHeight w:val="48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59B0235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K_01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02B7ED6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poszukuje najlepszych rozwiązań dydaktycznych sprzyjających postępom uczniów;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36617E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C.K1.</w:t>
            </w:r>
          </w:p>
        </w:tc>
      </w:tr>
      <w:tr w:rsidR="00A95AF9" w:rsidTr="67D53FDF" w14:paraId="6A0AF9E7" w14:textId="77777777">
        <w:trPr>
          <w:cantSplit/>
          <w:trHeight w:val="420"/>
        </w:trPr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D489FC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K_02</w:t>
            </w:r>
          </w:p>
        </w:tc>
        <w:tc>
          <w:tcPr>
            <w:tcW w:w="5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007E70A3" w:rsidRDefault="00344799" w14:paraId="003922F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Student koryguje swoje błędy językowe.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P="67D53FDF" w:rsidRDefault="00344799" w14:paraId="4B42742D" w14:textId="324DAF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</w:rPr>
            </w:pPr>
            <w:r w:rsidRPr="67D53FDF">
              <w:rPr>
                <w:rFonts w:ascii="Times New Roman" w:hAnsi="Times New Roman" w:eastAsia="Times New Roman"/>
              </w:rPr>
              <w:t>C.K</w:t>
            </w:r>
            <w:r w:rsidR="00927615">
              <w:rPr>
                <w:rFonts w:ascii="Times New Roman" w:hAnsi="Times New Roman" w:eastAsia="Times New Roman"/>
              </w:rPr>
              <w:t>1</w:t>
            </w:r>
            <w:r w:rsidRPr="67D53FDF">
              <w:rPr>
                <w:rFonts w:ascii="Times New Roman" w:hAnsi="Times New Roman" w:eastAsia="Times New Roman"/>
              </w:rPr>
              <w:t>.</w:t>
            </w:r>
          </w:p>
        </w:tc>
      </w:tr>
    </w:tbl>
    <w:p w:rsidR="00A95AF9" w:rsidRDefault="00A95AF9" w14:paraId="07547A01" w14:textId="777777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rFonts w:ascii="Times New Roman" w:hAnsi="Times New Roman" w:eastAsia="Times New Roman"/>
          <w:szCs w:val="22"/>
        </w:rPr>
      </w:pPr>
    </w:p>
    <w:p w:rsidR="00A95AF9" w:rsidRDefault="00344799" w14:paraId="0D16BDF1" w14:textId="77777777">
      <w:pPr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rFonts w:ascii="Times New Roman" w:hAnsi="Times New Roman" w:eastAsia="Times New Roman"/>
          <w:szCs w:val="22"/>
        </w:rPr>
      </w:pPr>
      <w:r>
        <w:br w:type="page"/>
      </w:r>
      <w:r>
        <w:rPr>
          <w:rFonts w:ascii="Times New Roman" w:hAnsi="Times New Roman" w:eastAsia="Times New Roman"/>
          <w:b/>
          <w:szCs w:val="22"/>
        </w:rPr>
        <w:lastRenderedPageBreak/>
        <w:t>Opis przedmiotu/ treści programowe</w:t>
      </w:r>
    </w:p>
    <w:tbl>
      <w:tblPr>
        <w:tblStyle w:val="af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839"/>
      </w:tblGrid>
      <w:tr w:rsidR="00A95AF9" w:rsidTr="17D7F4C2" w14:paraId="0F8543B4" w14:textId="77777777">
        <w:trPr>
          <w:cantSplit/>
          <w:trHeight w:val="3860"/>
        </w:trPr>
        <w:tc>
          <w:tcPr>
            <w:tcW w:w="8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D08B6" w:rsidR="00A95AF9" w:rsidRDefault="00344799" w14:paraId="5A957D55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 w:eastAsia="Times New Roman"/>
                <w:szCs w:val="22"/>
              </w:rPr>
              <w:t>Podstawowe zagadnienia dydaktyki ogólnej i szczegółowej</w:t>
            </w:r>
          </w:p>
          <w:p w:rsidRPr="002D08B6" w:rsidR="00A95AF9" w:rsidRDefault="00344799" w14:paraId="63C617A7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Pojęcia metodologiczne: podejście, metoda, techniki, sylabus, itd.</w:t>
            </w:r>
          </w:p>
          <w:p w:rsidRPr="00031EFE" w:rsidR="002D08B6" w:rsidRDefault="002D08B6" w14:paraId="6FF485E9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Konwencjonalne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(the Grammar-Translation Method, the Direct Method, the Audiolingual Method)</w:t>
            </w:r>
          </w:p>
          <w:p w:rsidRPr="00031EFE" w:rsidR="002D08B6" w:rsidP="002D08B6" w:rsidRDefault="002D08B6" w14:paraId="78C96317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Alternatywne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: the Total Physical Response, the Natural Approach, the Computer Assisted Language Approach, the Silent Way, Suggestopedia,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itd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.</w:t>
            </w:r>
          </w:p>
          <w:p w:rsidRPr="00031EFE" w:rsidR="002D08B6" w:rsidP="002D08B6" w:rsidRDefault="002D08B6" w14:paraId="6508FBF4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Alternatywne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: the Helen Doron Early English, the Callan Method, the Sita Learning System, Task-Based Language Learning,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itd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.</w:t>
            </w:r>
          </w:p>
          <w:p w:rsidRPr="00D1334A" w:rsidR="002D08B6" w:rsidP="002D08B6" w:rsidRDefault="002D08B6" w14:paraId="1F974EA9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Podejście leksykalne do nauczania języków obcych</w:t>
            </w:r>
          </w:p>
          <w:p w:rsidRPr="002D08B6" w:rsidR="00D1334A" w:rsidP="002D08B6" w:rsidRDefault="00D1334A" w14:paraId="79FBF46E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</w:rPr>
              <w:t>Struktura lekcji i zasady planowania lekcji, tworzenie konspektów</w:t>
            </w:r>
          </w:p>
          <w:p w:rsidRPr="002D08B6" w:rsidR="002D08B6" w:rsidP="002D08B6" w:rsidRDefault="002D08B6" w14:paraId="46C30E37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Rola kultury w nauczaniu języków obcych</w:t>
            </w:r>
          </w:p>
          <w:p w:rsidRPr="002D08B6" w:rsidR="002D08B6" w:rsidP="002D08B6" w:rsidRDefault="002D08B6" w14:paraId="19F39E6F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Rozwój umiejętności komunikatywnych</w:t>
            </w:r>
          </w:p>
          <w:p w:rsidRPr="002D08B6" w:rsidR="002D08B6" w:rsidP="002D08B6" w:rsidRDefault="002D08B6" w14:paraId="57191F86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Kreatywne nauczanie języków obcych</w:t>
            </w:r>
          </w:p>
          <w:p w:rsidRPr="002D08B6" w:rsidR="002D08B6" w:rsidP="002D08B6" w:rsidRDefault="002D08B6" w14:paraId="09E83597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Techniki nauczania słownictwa</w:t>
            </w:r>
          </w:p>
          <w:p w:rsidRPr="002D08B6" w:rsidR="002D08B6" w:rsidP="002D08B6" w:rsidRDefault="002D08B6" w14:paraId="57112FB5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  <w:szCs w:val="22"/>
              </w:rPr>
            </w:pPr>
            <w:r w:rsidRPr="002D08B6">
              <w:rPr>
                <w:rFonts w:ascii="Times New Roman" w:hAnsi="Times New Roman"/>
                <w:color w:val="auto"/>
                <w:szCs w:val="22"/>
              </w:rPr>
              <w:t>Nauczanie uczniów z dysleksją</w:t>
            </w:r>
          </w:p>
          <w:p w:rsidRPr="002D08B6" w:rsidR="002D08B6" w:rsidP="17D7F4C2" w:rsidRDefault="002D08B6" w14:paraId="38A0AFFC" w14:textId="6ECEA9A6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auto"/>
              </w:rPr>
            </w:pPr>
            <w:r w:rsidRPr="17D7F4C2" w:rsidR="5B011C3E">
              <w:rPr>
                <w:rFonts w:ascii="Times New Roman" w:hAnsi="Times New Roman"/>
                <w:color w:val="auto"/>
              </w:rPr>
              <w:t>Dyscyplina w klasie i radzenie sobie w trudnych sytuacjach</w:t>
            </w:r>
            <w:r w:rsidRPr="17D7F4C2">
              <w:rPr>
                <w:rFonts w:ascii="Times New Roman" w:hAnsi="Times New Roman"/>
                <w:color w:val="auto"/>
              </w:rPr>
              <w:fldChar w:fldCharType="begin"/>
            </w:r>
            <w:r w:rsidRPr="17D7F4C2">
              <w:rPr>
                <w:rFonts w:ascii="Times New Roman" w:hAnsi="Times New Roman"/>
                <w:color w:val="auto"/>
              </w:rPr>
              <w:instrText xml:space="preserve"> HYPERLINK "https://epedagogika.pl/zarzadzanie-klasa/dyscyplina-w-klasie-i-radzenie-sobie-w-trudnych-sytuacjach-czesc-1.-4119.html" </w:instrText>
            </w:r>
            <w:r w:rsidRPr="17D7F4C2">
              <w:rPr>
                <w:rFonts w:ascii="Times New Roman" w:hAnsi="Times New Roman"/>
                <w:color w:val="auto"/>
              </w:rPr>
              <w:fldChar w:fldCharType="separate"/>
            </w:r>
          </w:p>
          <w:p w:rsidRPr="002D08B6" w:rsidR="002D08B6" w:rsidP="002D08B6" w:rsidRDefault="002D08B6" w14:paraId="37BDE1AB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  <w:szCs w:val="22"/>
              </w:rPr>
            </w:pPr>
            <w:r w:rsidRPr="002D08B6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2D08B6">
              <w:rPr>
                <w:rFonts w:ascii="Times New Roman" w:hAnsi="Times New Roman"/>
                <w:color w:val="auto"/>
                <w:szCs w:val="22"/>
              </w:rPr>
              <w:t>Korekcja błędów w nauczaniu języków obcych</w:t>
            </w:r>
          </w:p>
          <w:p w:rsidRPr="002D08B6" w:rsidR="00A95AF9" w:rsidRDefault="00344799" w14:paraId="3E01675F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Istotne problemy w nauczaniu języka obcego</w:t>
            </w:r>
          </w:p>
          <w:p w:rsidR="00A95AF9" w:rsidRDefault="00344799" w14:paraId="62EC266C" w14:textId="77777777">
            <w:pPr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D08B6">
              <w:rPr>
                <w:rFonts w:ascii="Times New Roman" w:hAnsi="Times New Roman" w:eastAsia="Times New Roman"/>
                <w:szCs w:val="22"/>
              </w:rPr>
              <w:t>Podsumowanie semestru</w:t>
            </w:r>
          </w:p>
        </w:tc>
      </w:tr>
    </w:tbl>
    <w:p w:rsidR="00A95AF9" w:rsidRDefault="00A95AF9" w14:paraId="5043CB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p w:rsidR="00A95AF9" w:rsidP="67D53FDF" w:rsidRDefault="00344799" w14:paraId="077A84DE" w14:textId="7777777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</w:rPr>
      </w:pPr>
      <w:r w:rsidRPr="67D53FDF">
        <w:rPr>
          <w:rFonts w:ascii="Times New Roman" w:hAnsi="Times New Roman" w:eastAsia="Times New Roman"/>
          <w:b/>
          <w:bCs/>
        </w:rPr>
        <w:t>Metody realizacji i weryfikacji efektów uczenia się</w:t>
      </w:r>
    </w:p>
    <w:p w:rsidR="00A95AF9" w:rsidRDefault="00A95AF9" w14:paraId="0745931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</w:p>
    <w:tbl>
      <w:tblPr>
        <w:tblStyle w:val="af0"/>
        <w:tblW w:w="88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67"/>
        <w:gridCol w:w="2581"/>
        <w:gridCol w:w="2709"/>
        <w:gridCol w:w="2483"/>
      </w:tblGrid>
      <w:tr w:rsidR="00A95AF9" w14:paraId="1689BF88" w14:textId="77777777">
        <w:trPr>
          <w:cantSplit/>
          <w:trHeight w:val="696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59C1A4F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Symbol efektu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55E8691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Metody dydaktyczne</w:t>
            </w:r>
          </w:p>
          <w:p w:rsidR="00A95AF9" w:rsidRDefault="00344799" w14:paraId="10B4B03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(lista wyboru)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6108D6B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Metody weryfikacji</w:t>
            </w:r>
          </w:p>
          <w:p w:rsidR="00A95AF9" w:rsidRDefault="00344799" w14:paraId="243D084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(lista wyboru)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788706B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Sposoby dokumentacji</w:t>
            </w:r>
          </w:p>
          <w:p w:rsidR="00A95AF9" w:rsidRDefault="00344799" w14:paraId="6963A01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(lista wyboru)</w:t>
            </w:r>
          </w:p>
        </w:tc>
      </w:tr>
      <w:tr w:rsidR="00A95AF9" w14:paraId="5F309F4E" w14:textId="77777777">
        <w:trPr>
          <w:cantSplit/>
          <w:trHeight w:val="420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56C913C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WIEDZA</w:t>
            </w:r>
          </w:p>
        </w:tc>
      </w:tr>
      <w:tr w:rsidR="00A95AF9" w:rsidTr="003C2F13" w14:paraId="301EB35C" w14:textId="77777777">
        <w:trPr>
          <w:cantSplit/>
          <w:trHeight w:val="45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10898DA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A95AF9" w:rsidRDefault="001C1A15" w14:paraId="7C4E31F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A95AF9" w:rsidRDefault="001C1A15" w14:paraId="12C6DBE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A95AF9" w:rsidRDefault="00261B3C" w14:paraId="73B8AC5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3C2F13" w:rsidTr="003C2F13" w14:paraId="5AEE9BA0" w14:textId="77777777">
        <w:trPr>
          <w:cantSplit/>
          <w:trHeight w:val="45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13" w:rsidP="003C2F13" w:rsidRDefault="003C2F13" w14:paraId="3C368D66" w14:textId="565F6E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13DB5A9F" w14:textId="18C897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6130540F" w14:textId="626571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1615BC89" w14:textId="68C624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3C2F13" w:rsidTr="00995CE8" w14:paraId="1764ABE9" w14:textId="77777777">
        <w:trPr>
          <w:cantSplit/>
          <w:trHeight w:val="45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13" w:rsidP="00995CE8" w:rsidRDefault="003C2F13" w14:paraId="237937C8" w14:textId="387432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995CE8" w:rsidRDefault="003C2F13" w14:paraId="7C5DABD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995CE8" w:rsidRDefault="003C2F13" w14:paraId="3096ACE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995CE8" w:rsidRDefault="003C2F13" w14:paraId="1F72EFC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3C2F13" w:rsidTr="001839DD" w14:paraId="6361AF93" w14:textId="77777777">
        <w:trPr>
          <w:cantSplit/>
          <w:trHeight w:val="427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13" w:rsidP="001839DD" w:rsidRDefault="003C2F13" w14:paraId="5CE1D69A" w14:textId="5EE733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W_04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1839DD" w:rsidRDefault="003C2F13" w14:paraId="5EF2B7FF" w14:textId="77777777">
            <w:pPr>
              <w:spacing w:after="0" w:line="240" w:lineRule="auto"/>
              <w:ind w:left="0" w:hanging="2"/>
              <w:rPr>
                <w:rFonts w:ascii="Times New Roman" w:hAnsi="Times New Roman" w:eastAsia="Calibri"/>
                <w:color w:val="auto"/>
                <w:position w:val="0"/>
                <w:szCs w:val="22"/>
              </w:rPr>
            </w:pPr>
            <w:r w:rsidRPr="00261B3C">
              <w:rPr>
                <w:rFonts w:ascii="Times New Roman" w:hAnsi="Times New Roman"/>
              </w:rPr>
              <w:t>Projekt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1839DD" w:rsidRDefault="003C2F13" w14:paraId="20899A9D" w14:textId="77777777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Opis projektu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1839DD" w:rsidRDefault="003C2F13" w14:paraId="59FD3EDE" w14:textId="77777777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Karta oceny projektu</w:t>
            </w:r>
          </w:p>
        </w:tc>
      </w:tr>
      <w:tr w:rsidR="00A95AF9" w14:paraId="72C7CB58" w14:textId="77777777">
        <w:trPr>
          <w:cantSplit/>
          <w:trHeight w:val="420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5728730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UMIEJĘTNOŚCI</w:t>
            </w:r>
          </w:p>
        </w:tc>
      </w:tr>
      <w:tr w:rsidR="00261B3C" w:rsidTr="003C2F13" w14:paraId="018D7917" w14:textId="77777777">
        <w:trPr>
          <w:cantSplit/>
          <w:trHeight w:val="34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P="00261B3C" w:rsidRDefault="00261B3C" w14:paraId="6CD1F4B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291858F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374A914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455E81C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3C2F13" w:rsidTr="003C2F13" w14:paraId="314E1D39" w14:textId="77777777">
        <w:trPr>
          <w:cantSplit/>
          <w:trHeight w:val="34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13" w:rsidP="003C2F13" w:rsidRDefault="003C2F13" w14:paraId="2498A07D" w14:textId="764F0E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0E518E97" w14:textId="66ECCC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69D7ECA7" w14:textId="257167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1B9EAC8B" w14:textId="0AA1CD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3C2F13" w:rsidTr="003C2F13" w14:paraId="40C4BADD" w14:textId="77777777">
        <w:trPr>
          <w:cantSplit/>
          <w:trHeight w:val="34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13" w:rsidP="003C2F13" w:rsidRDefault="003C2F13" w14:paraId="0C82E63E" w14:textId="655C94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14C7931F" w14:textId="2FC7E7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4763C163" w14:textId="23093A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261B3C">
              <w:rPr>
                <w:rFonts w:ascii="Times New Roman" w:hAnsi="Times New Roman" w:eastAsia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3C2F13" w:rsidP="003C2F13" w:rsidRDefault="003C2F13" w14:paraId="58FEC47C" w14:textId="3416E7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261B3C" w14:paraId="2908A5CA" w14:textId="77777777">
        <w:trPr>
          <w:cantSplit/>
          <w:trHeight w:val="100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P="00261B3C" w:rsidRDefault="00261B3C" w14:paraId="0A8BA376" w14:textId="06FD29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U_0</w:t>
            </w:r>
            <w:r w:rsidR="003C2F13">
              <w:rPr>
                <w:rFonts w:ascii="Times New Roman" w:hAnsi="Times New Roman" w:eastAsia="Times New Roman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11E258C3" w14:textId="77777777">
            <w:pPr>
              <w:spacing w:after="0" w:line="240" w:lineRule="auto"/>
              <w:ind w:left="0" w:hanging="2"/>
              <w:rPr>
                <w:rFonts w:ascii="Times New Roman" w:hAnsi="Times New Roman" w:eastAsia="Calibri"/>
                <w:color w:val="auto"/>
                <w:position w:val="0"/>
                <w:szCs w:val="22"/>
              </w:rPr>
            </w:pPr>
            <w:r w:rsidRPr="00261B3C">
              <w:rPr>
                <w:rFonts w:ascii="Times New Roman" w:hAnsi="Times New Roman"/>
              </w:rPr>
              <w:t>Projekt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160D959B" w14:textId="77777777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Opis projektu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261B3C" w:rsidP="00261B3C" w:rsidRDefault="00261B3C" w14:paraId="54A343FC" w14:textId="77777777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Karta oceny projektu</w:t>
            </w:r>
          </w:p>
        </w:tc>
      </w:tr>
      <w:tr w:rsidR="00A95AF9" w14:paraId="605C5AC6" w14:textId="77777777">
        <w:trPr>
          <w:cantSplit/>
          <w:trHeight w:val="420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 w14:paraId="78B1645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KOMPETENCJE SPOŁECZNE</w:t>
            </w:r>
          </w:p>
        </w:tc>
      </w:tr>
      <w:tr w:rsidR="00A95AF9" w14:paraId="662A21EE" w14:textId="77777777">
        <w:trPr>
          <w:cantSplit/>
          <w:trHeight w:val="100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0DEB65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K_01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61B3C" w:rsidR="00A95AF9" w:rsidP="00261B3C" w:rsidRDefault="00344799" w14:paraId="558AEE6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Dyskusja</w:t>
            </w:r>
            <w:r w:rsidR="00261B3C">
              <w:rPr>
                <w:rFonts w:ascii="Times New Roman" w:hAnsi="Times New Roman" w:eastAsia="Times New Roman"/>
                <w:szCs w:val="22"/>
              </w:rPr>
              <w:t xml:space="preserve"> na forum</w:t>
            </w:r>
          </w:p>
          <w:p w:rsidR="00A95AF9" w:rsidRDefault="00A95AF9" w14:paraId="6537F28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33F2910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Obserwacja</w:t>
            </w:r>
          </w:p>
          <w:p w:rsidR="00A95AF9" w:rsidRDefault="00A95AF9" w14:paraId="6DFB9E2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06245AE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Zapis w arkuszu ocen</w:t>
            </w:r>
          </w:p>
        </w:tc>
      </w:tr>
      <w:tr w:rsidR="00A95AF9" w14:paraId="0EDDE253" w14:textId="77777777">
        <w:trPr>
          <w:cantSplit/>
          <w:trHeight w:val="1000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11DCD4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lastRenderedPageBreak/>
              <w:t>K_02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4F99C4B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Dyskusja/</w:t>
            </w:r>
          </w:p>
          <w:p w:rsidR="00A95AF9" w:rsidRDefault="00344799" w14:paraId="0D5AF07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Praca indywidualna/</w:t>
            </w:r>
          </w:p>
          <w:p w:rsidR="00A95AF9" w:rsidRDefault="00344799" w14:paraId="217A964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Praca w grupach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324D1EA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Obserwacja</w:t>
            </w:r>
          </w:p>
          <w:p w:rsidR="00A95AF9" w:rsidRDefault="00344799" w14:paraId="5D42DB4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Monitorowanie i informacja zwrotna od grupy lub prowadzącego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14:paraId="6034200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>
              <w:rPr>
                <w:rFonts w:ascii="Times New Roman" w:hAnsi="Times New Roman" w:eastAsia="Times New Roman"/>
                <w:szCs w:val="22"/>
              </w:rPr>
              <w:t>Zapis w arkuszu ocen</w:t>
            </w:r>
          </w:p>
        </w:tc>
      </w:tr>
    </w:tbl>
    <w:p w:rsidRPr="00031EFE" w:rsidR="00A95AF9" w:rsidRDefault="00A95AF9" w14:paraId="70DF9E5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</w:p>
    <w:p w:rsidRPr="00031EFE" w:rsidR="00A95AF9" w:rsidRDefault="00344799" w14:paraId="74239522" w14:textId="77777777">
      <w:pPr>
        <w:numPr>
          <w:ilvl w:val="0"/>
          <w:numId w:val="1"/>
        </w:numPr>
        <w:pBdr>
          <w:top w:val="none" w:color="000000" w:sz="0" w:space="4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 w:rsidRPr="00031EFE">
        <w:rPr>
          <w:rFonts w:ascii="Times New Roman" w:hAnsi="Times New Roman" w:eastAsia="Times New Roman"/>
          <w:b/>
          <w:szCs w:val="22"/>
        </w:rPr>
        <w:t>Kryteria oceny, wagi…</w:t>
      </w:r>
    </w:p>
    <w:p w:rsidRPr="00031EFE" w:rsidR="00A95AF9" w:rsidP="00767C22" w:rsidRDefault="00344799" w14:paraId="173F04E6" w14:textId="1BA71F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Times New Roman" w:hAnsi="Times New Roman" w:eastAsia="Times New Roman"/>
        </w:rPr>
      </w:pPr>
      <w:r w:rsidRPr="67D53FDF">
        <w:rPr>
          <w:rFonts w:ascii="Times New Roman" w:hAnsi="Times New Roman" w:eastAsia="Times New Roman"/>
        </w:rPr>
        <w:t xml:space="preserve">Studenci oceniani są na podstawie </w:t>
      </w:r>
      <w:r w:rsidRPr="67D53FDF" w:rsidR="00261B3C">
        <w:rPr>
          <w:rFonts w:ascii="Times New Roman" w:hAnsi="Times New Roman" w:eastAsia="Times New Roman"/>
        </w:rPr>
        <w:t>wyników quizów</w:t>
      </w:r>
      <w:r w:rsidR="00767C22">
        <w:rPr>
          <w:rFonts w:ascii="Times New Roman" w:hAnsi="Times New Roman" w:eastAsia="Times New Roman"/>
        </w:rPr>
        <w:t xml:space="preserve"> oraz</w:t>
      </w:r>
      <w:r w:rsidR="003C2F13">
        <w:rPr>
          <w:rFonts w:ascii="Times New Roman" w:hAnsi="Times New Roman" w:eastAsia="Times New Roman"/>
        </w:rPr>
        <w:t xml:space="preserve"> projektów</w:t>
      </w:r>
      <w:r w:rsidR="00767C22">
        <w:rPr>
          <w:rFonts w:ascii="Times New Roman" w:hAnsi="Times New Roman" w:eastAsia="Times New Roman"/>
        </w:rPr>
        <w:t>, ale przede wszystkim na podstawie</w:t>
      </w:r>
      <w:r w:rsidR="003C2F13">
        <w:rPr>
          <w:rFonts w:ascii="Times New Roman" w:hAnsi="Times New Roman" w:eastAsia="Times New Roman"/>
        </w:rPr>
        <w:t xml:space="preserve"> testu egzaminacyjnego.</w:t>
      </w:r>
    </w:p>
    <w:p w:rsidRPr="00031EFE" w:rsidR="00A95AF9" w:rsidRDefault="00A95AF9" w14:paraId="44E871B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</w:p>
    <w:p w:rsidRPr="00031EFE" w:rsidR="00A95AF9" w:rsidRDefault="00344799" w14:paraId="79EF87A7" w14:textId="7777777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 w:rsidRPr="00031EFE">
        <w:rPr>
          <w:rFonts w:ascii="Times New Roman" w:hAnsi="Times New Roman" w:eastAsia="Times New Roman"/>
          <w:b/>
          <w:szCs w:val="22"/>
        </w:rPr>
        <w:t>Obciążenie pracą studenta</w:t>
      </w:r>
    </w:p>
    <w:tbl>
      <w:tblPr>
        <w:tblStyle w:val="af1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26"/>
        <w:gridCol w:w="4413"/>
      </w:tblGrid>
      <w:tr w:rsidRPr="00031EFE" w:rsidR="00A95AF9" w:rsidTr="67D53FDF" w14:paraId="7D5DE7A8" w14:textId="77777777">
        <w:trPr>
          <w:cantSplit/>
          <w:trHeight w:val="517"/>
        </w:trPr>
        <w:tc>
          <w:tcPr>
            <w:tcW w:w="4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0EBE9EA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</w:rPr>
              <w:t>Forma aktywności studenta</w:t>
            </w:r>
          </w:p>
        </w:tc>
        <w:tc>
          <w:tcPr>
            <w:tcW w:w="4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737112D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</w:rPr>
              <w:t>Liczba godzin</w:t>
            </w:r>
          </w:p>
        </w:tc>
      </w:tr>
      <w:tr w:rsidRPr="00031EFE" w:rsidR="00A95AF9" w:rsidTr="67D53FDF" w14:paraId="622A16CE" w14:textId="77777777">
        <w:trPr>
          <w:cantSplit/>
          <w:trHeight w:val="340"/>
        </w:trPr>
        <w:tc>
          <w:tcPr>
            <w:tcW w:w="4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C2F13" w:rsidR="00A95AF9" w:rsidRDefault="00344799" w14:paraId="0DC38E9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color w:val="auto"/>
                <w:szCs w:val="22"/>
              </w:rPr>
            </w:pPr>
            <w:r w:rsidRPr="003C2F13">
              <w:rPr>
                <w:rFonts w:ascii="Times New Roman" w:hAnsi="Times New Roman" w:eastAsia="Times New Roman"/>
                <w:color w:val="auto"/>
                <w:szCs w:val="22"/>
              </w:rPr>
              <w:t xml:space="preserve">Liczba godzin kontaktowych z nauczycielem </w:t>
            </w:r>
          </w:p>
        </w:tc>
        <w:tc>
          <w:tcPr>
            <w:tcW w:w="4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C2F13" w:rsidR="00A95AF9" w:rsidP="67D53FDF" w:rsidRDefault="1B5CD1BA" w14:paraId="4B584315" w14:textId="30CE49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</w:rPr>
            </w:pPr>
            <w:r w:rsidRPr="003C2F13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Pr="00031EFE" w:rsidR="00A95AF9" w:rsidTr="67D53FDF" w14:paraId="48E28FD6" w14:textId="77777777">
        <w:trPr>
          <w:cantSplit/>
          <w:trHeight w:val="340"/>
        </w:trPr>
        <w:tc>
          <w:tcPr>
            <w:tcW w:w="4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6F1B0E0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</w:rPr>
              <w:t>Liczba godzin indywidualnej pracy studenta</w:t>
            </w:r>
          </w:p>
        </w:tc>
        <w:tc>
          <w:tcPr>
            <w:tcW w:w="4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60DA321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/>
                <w:szCs w:val="22"/>
              </w:rPr>
              <w:t>30</w:t>
            </w:r>
          </w:p>
        </w:tc>
      </w:tr>
    </w:tbl>
    <w:p w:rsidRPr="00031EFE" w:rsidR="00A95AF9" w:rsidRDefault="00A95AF9" w14:paraId="144A5D2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hAnsi="Times New Roman" w:eastAsia="Times New Roman"/>
          <w:szCs w:val="22"/>
        </w:rPr>
      </w:pPr>
    </w:p>
    <w:p w:rsidRPr="00031EFE" w:rsidR="00A95AF9" w:rsidRDefault="00344799" w14:paraId="5B3EF4A0" w14:textId="77777777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hAnsi="Times New Roman" w:eastAsia="Times New Roman"/>
          <w:szCs w:val="22"/>
        </w:rPr>
      </w:pPr>
      <w:r w:rsidRPr="00031EFE">
        <w:rPr>
          <w:rFonts w:ascii="Times New Roman" w:hAnsi="Times New Roman" w:eastAsia="Times New Roman"/>
          <w:b/>
          <w:szCs w:val="22"/>
        </w:rPr>
        <w:t>Literatura</w:t>
      </w:r>
    </w:p>
    <w:tbl>
      <w:tblPr>
        <w:tblStyle w:val="af2"/>
        <w:tblW w:w="88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850"/>
      </w:tblGrid>
      <w:tr w:rsidRPr="00031EFE" w:rsidR="00A95AF9" w14:paraId="4AA28130" w14:textId="77777777">
        <w:trPr>
          <w:cantSplit/>
          <w:trHeight w:val="397"/>
        </w:trPr>
        <w:tc>
          <w:tcPr>
            <w:tcW w:w="8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0936845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</w:rPr>
              <w:t>Literatura podstawowa</w:t>
            </w:r>
          </w:p>
        </w:tc>
      </w:tr>
      <w:tr w:rsidRPr="007E70A3" w:rsidR="00A95AF9" w14:paraId="1D4A86A3" w14:textId="77777777">
        <w:trPr>
          <w:cantSplit/>
          <w:trHeight w:val="2041"/>
        </w:trPr>
        <w:tc>
          <w:tcPr>
            <w:tcW w:w="8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31EFE" w:rsidR="00A95AF9" w:rsidRDefault="00344799" w14:paraId="7B62C18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Brown, H. Douglas. 1994.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Teaching by Principles: An Interactive Approach to Language Pedagogy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Pearson.</w:t>
            </w:r>
          </w:p>
          <w:p w:rsidRPr="00031EFE" w:rsidR="00A95AF9" w:rsidRDefault="00344799" w14:paraId="4D3EC77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hAnsi="Times New Roman" w:eastAsia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Brown, H. 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Douglas. 2000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. </w:t>
            </w:r>
            <w:r w:rsidRPr="00414B9B">
              <w:rPr>
                <w:rFonts w:ascii="Times New Roman" w:hAnsi="Times New Roman" w:eastAsia="Times New Roman"/>
                <w:i/>
                <w:szCs w:val="22"/>
                <w:lang w:val="en-GB"/>
              </w:rPr>
              <w:t>Principles of Language Learning and Teaching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>. New York: Pearson.</w:t>
            </w:r>
          </w:p>
          <w:p w:rsidRPr="00031EFE" w:rsidR="00A95AF9" w:rsidRDefault="00344799" w14:paraId="21A7ECF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hAnsi="Times New Roman" w:eastAsia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Brown, H. 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Douglas. 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2001. </w:t>
            </w:r>
            <w:r w:rsidRPr="00414B9B">
              <w:rPr>
                <w:rFonts w:ascii="Times New Roman" w:hAnsi="Times New Roman" w:eastAsia="Times New Roman"/>
                <w:i/>
                <w:szCs w:val="22"/>
                <w:lang w:val="en-GB"/>
              </w:rPr>
              <w:t>Strategies for Success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>. Longman.</w:t>
            </w:r>
          </w:p>
          <w:p w:rsidRPr="00031EFE" w:rsidR="00A95AF9" w:rsidRDefault="00344799" w14:paraId="4A7AA358" w14:textId="777777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Campbell, Colin &amp; Hanna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Kryszewska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. 2001.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Learner based teaching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Oxford: Oxford University Press.</w:t>
            </w:r>
          </w:p>
          <w:p w:rsidRPr="00031EFE" w:rsidR="00A95AF9" w:rsidRDefault="00344799" w14:paraId="56DB903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Cook, Vivian. 2016.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Second language learning &amp; language teaching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5th edition. New York and London: Routledge.</w:t>
            </w:r>
          </w:p>
          <w:p w:rsidRPr="00031EFE" w:rsidR="00A95AF9" w:rsidRDefault="00344799" w14:paraId="0029320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Dakowska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, M. 2003.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Current controversies in foreign language didactics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Warsaw: Warsaw University Press.</w:t>
            </w:r>
          </w:p>
          <w:p w:rsidRPr="00031EFE" w:rsidR="00A95AF9" w:rsidRDefault="00344799" w14:paraId="771C675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Dakowska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, M. 2005.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Teaching English as a foreign language. A guide for profession</w:t>
            </w:r>
            <w:bookmarkStart w:name="_GoBack" w:id="0"/>
            <w:bookmarkEnd w:id="0"/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als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Warsaw: PWN.</w:t>
            </w:r>
          </w:p>
          <w:p w:rsidRPr="007E70A3" w:rsidR="00A95AF9" w:rsidRDefault="00344799" w14:paraId="39AD1937" w14:textId="576F52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Harmer, J. </w:t>
            </w:r>
            <w:r w:rsidR="00414B9B">
              <w:rPr>
                <w:rFonts w:ascii="Times New Roman" w:hAnsi="Times New Roman" w:eastAsia="Times New Roman"/>
                <w:szCs w:val="22"/>
                <w:lang w:val="en-GB"/>
              </w:rPr>
              <w:t>2001.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 </w:t>
            </w:r>
            <w:r w:rsidRPr="00414B9B">
              <w:rPr>
                <w:rFonts w:ascii="Times New Roman" w:hAnsi="Times New Roman" w:eastAsia="Times New Roman"/>
                <w:i/>
                <w:szCs w:val="22"/>
                <w:lang w:val="en-GB"/>
              </w:rPr>
              <w:t>The Practice of English Language Teaching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. </w:t>
            </w:r>
            <w:r w:rsidRPr="007E70A3">
              <w:rPr>
                <w:rFonts w:ascii="Times New Roman" w:hAnsi="Times New Roman" w:eastAsia="Times New Roman"/>
                <w:szCs w:val="22"/>
              </w:rPr>
              <w:t>Longman.</w:t>
            </w:r>
          </w:p>
          <w:p w:rsidRPr="00414B9B" w:rsidR="00A95AF9" w:rsidRDefault="00344799" w14:paraId="5922F7D9" w14:textId="1D3848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hAnsi="Times New Roman" w:eastAsia="Times New Roman"/>
                <w:szCs w:val="22"/>
                <w:lang w:val="en-GB"/>
              </w:rPr>
            </w:pPr>
            <w:r w:rsidRPr="007E70A3">
              <w:rPr>
                <w:rFonts w:ascii="Times New Roman" w:hAnsi="Times New Roman" w:eastAsia="Times New Roman"/>
                <w:szCs w:val="22"/>
              </w:rPr>
              <w:t xml:space="preserve">Komorowska, H. 2002. </w:t>
            </w:r>
            <w:r w:rsidRPr="00414B9B">
              <w:rPr>
                <w:rFonts w:ascii="Times New Roman" w:hAnsi="Times New Roman" w:eastAsia="Times New Roman"/>
                <w:i/>
                <w:szCs w:val="22"/>
              </w:rPr>
              <w:t>Metodyka Nauczania Języków Obcych</w:t>
            </w:r>
            <w:r w:rsidR="00767C22">
              <w:rPr>
                <w:rFonts w:ascii="Times New Roman" w:hAnsi="Times New Roman" w:eastAsia="Times New Roman"/>
                <w:szCs w:val="22"/>
              </w:rPr>
              <w:t>.</w:t>
            </w:r>
            <w:r w:rsidRPr="007E70A3">
              <w:rPr>
                <w:rFonts w:ascii="Times New Roman" w:hAnsi="Times New Roman" w:eastAsia="Times New Roman"/>
                <w:szCs w:val="22"/>
              </w:rPr>
              <w:t xml:space="preserve"> </w:t>
            </w:r>
            <w:proofErr w:type="spellStart"/>
            <w:r w:rsidRPr="00414B9B">
              <w:rPr>
                <w:rFonts w:ascii="Times New Roman" w:hAnsi="Times New Roman" w:eastAsia="Times New Roman"/>
                <w:szCs w:val="22"/>
                <w:lang w:val="en-GB"/>
              </w:rPr>
              <w:t>Fraszka</w:t>
            </w:r>
            <w:proofErr w:type="spellEnd"/>
            <w:r w:rsidRPr="00414B9B">
              <w:rPr>
                <w:rFonts w:ascii="Times New Roman" w:hAnsi="Times New Roman" w:eastAsia="Times New Roman"/>
                <w:szCs w:val="22"/>
                <w:lang w:val="en-GB"/>
              </w:rPr>
              <w:t xml:space="preserve"> </w:t>
            </w:r>
            <w:proofErr w:type="spellStart"/>
            <w:r w:rsidRPr="00414B9B">
              <w:rPr>
                <w:rFonts w:ascii="Times New Roman" w:hAnsi="Times New Roman" w:eastAsia="Times New Roman"/>
                <w:szCs w:val="22"/>
                <w:lang w:val="en-GB"/>
              </w:rPr>
              <w:t>Edukacyjna</w:t>
            </w:r>
            <w:proofErr w:type="spellEnd"/>
            <w:r w:rsidRPr="00414B9B">
              <w:rPr>
                <w:rFonts w:ascii="Times New Roman" w:hAnsi="Times New Roman" w:eastAsia="Times New Roman"/>
                <w:szCs w:val="22"/>
                <w:lang w:val="en-GB"/>
              </w:rPr>
              <w:t>.</w:t>
            </w:r>
          </w:p>
          <w:p w:rsidRPr="00031EFE" w:rsidR="00A95AF9" w:rsidRDefault="00344799" w14:paraId="6A8A2B2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Larsen-Freeman, Diane. 2000.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Techniques and principles in language teaching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Oxford: Oxford University Press.</w:t>
            </w:r>
          </w:p>
          <w:p w:rsidRPr="00031EFE" w:rsidR="00A95AF9" w:rsidRDefault="00344799" w14:paraId="2EBA74FF" w14:textId="64B5E7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Lightbown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, Patsy M. and Nina Spada. 2006.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How languages are learned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Oxford: Oxford University Press.</w:t>
            </w:r>
          </w:p>
          <w:p w:rsidRPr="00031EFE" w:rsidR="00A95AF9" w:rsidRDefault="00344799" w14:paraId="444C7EA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Richards, Jack C. and Theodore S. Rodgers. 2001.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Approaches and methods in language teaching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Cambridge: Cambridge University Press.</w:t>
            </w:r>
          </w:p>
          <w:p w:rsidRPr="00031EFE" w:rsidR="00A95AF9" w:rsidRDefault="00344799" w14:paraId="65AF083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Scrivener, Jim. 2005. </w:t>
            </w:r>
            <w:r w:rsidRPr="00414B9B">
              <w:rPr>
                <w:rFonts w:ascii="Times New Roman" w:hAnsi="Times New Roman"/>
                <w:i/>
                <w:szCs w:val="22"/>
                <w:lang w:val="en-GB"/>
              </w:rPr>
              <w:t>Learning teaching: A guidebook for English language teachers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. Oxford: Macmillan.</w:t>
            </w:r>
          </w:p>
          <w:p w:rsidRPr="007E70A3" w:rsidR="00A95AF9" w:rsidRDefault="00344799" w14:paraId="01AD54B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hAnsi="Times New Roman" w:eastAsia="Times New Roman"/>
                <w:szCs w:val="22"/>
              </w:rPr>
            </w:pP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Ur, P. 1996. </w:t>
            </w:r>
            <w:r w:rsidRPr="00414B9B">
              <w:rPr>
                <w:rFonts w:ascii="Times New Roman" w:hAnsi="Times New Roman" w:eastAsia="Times New Roman"/>
                <w:i/>
                <w:szCs w:val="22"/>
                <w:lang w:val="en-GB"/>
              </w:rPr>
              <w:t>A Course in English Language Teaching</w:t>
            </w:r>
            <w:r w:rsidRPr="00031EFE">
              <w:rPr>
                <w:rFonts w:ascii="Times New Roman" w:hAnsi="Times New Roman" w:eastAsia="Times New Roman"/>
                <w:szCs w:val="22"/>
                <w:lang w:val="en-GB"/>
              </w:rPr>
              <w:t xml:space="preserve">. </w:t>
            </w:r>
            <w:r w:rsidRPr="007E70A3">
              <w:rPr>
                <w:rFonts w:ascii="Times New Roman" w:hAnsi="Times New Roman" w:eastAsia="Times New Roman"/>
                <w:szCs w:val="22"/>
              </w:rPr>
              <w:t>Cambridge: Cambridge University Press.</w:t>
            </w:r>
          </w:p>
        </w:tc>
      </w:tr>
    </w:tbl>
    <w:p w:rsidR="00A95AF9" w:rsidP="009946C3" w:rsidRDefault="00A95AF9" w14:paraId="637805D2" w14:textId="777777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leftChars="0" w:firstLine="0" w:firstLineChars="0"/>
        <w:rPr>
          <w:szCs w:val="22"/>
        </w:rPr>
      </w:pPr>
    </w:p>
    <w:sectPr w:rsidR="00A95AF9">
      <w:pgSz w:w="11900" w:h="16840" w:orient="portrait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80F45D" w16cex:dateUtc="2024-10-05T15:05:48.629Z"/>
  <w16cex:commentExtensible w16cex:durableId="4DAC956D" w16cex:dateUtc="2024-10-05T15:07:18.652Z"/>
  <w16cex:commentExtensible w16cex:durableId="31879DBB" w16cex:dateUtc="2024-10-05T15:09:20.004Z"/>
  <w16cex:commentExtensible w16cex:durableId="4B6E4A59" w16cex:dateUtc="2024-10-05T15:10:58.177Z"/>
  <w16cex:commentExtensible w16cex:durableId="426B89AE" w16cex:dateUtc="2024-10-05T15:12:33.56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stem Font Bol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1B1"/>
    <w:multiLevelType w:val="multilevel"/>
    <w:tmpl w:val="E5C42FD4"/>
    <w:lvl w:ilvl="0">
      <w:start w:val="1"/>
      <w:numFmt w:val="upperRoman"/>
      <w:lvlText w:val="%1."/>
      <w:lvlJc w:val="left"/>
      <w:pPr>
        <w:ind w:left="348" w:firstLine="36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309" w:firstLine="1851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09" w:firstLine="4011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309" w:firstLine="6171"/>
      </w:pPr>
      <w:rPr>
        <w:rFonts w:ascii="System Font Bold" w:hAnsi="System Font Bold" w:eastAsia="System Font Bold" w:cs="System Font Bold"/>
        <w:smallCaps w:val="0"/>
        <w:strike w:val="0"/>
        <w:color w:val="000000"/>
        <w:sz w:val="24"/>
        <w:szCs w:val="24"/>
        <w:vertAlign w:val="baseline"/>
      </w:rPr>
    </w:lvl>
  </w:abstractNum>
  <w:abstractNum w:abstractNumId="1" w15:restartNumberingAfterBreak="0">
    <w:nsid w:val="25A43199"/>
    <w:multiLevelType w:val="multilevel"/>
    <w:tmpl w:val="E3CEE332"/>
    <w:lvl w:ilvl="0">
      <w:start w:val="1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F9"/>
    <w:rsid w:val="00031EFE"/>
    <w:rsid w:val="00184F4E"/>
    <w:rsid w:val="001C1A15"/>
    <w:rsid w:val="00261B3C"/>
    <w:rsid w:val="002D08B6"/>
    <w:rsid w:val="00344799"/>
    <w:rsid w:val="003C2F13"/>
    <w:rsid w:val="00414B9B"/>
    <w:rsid w:val="00767C22"/>
    <w:rsid w:val="007E70A3"/>
    <w:rsid w:val="00927615"/>
    <w:rsid w:val="009946C3"/>
    <w:rsid w:val="00A95AF9"/>
    <w:rsid w:val="00D1334A"/>
    <w:rsid w:val="00E74906"/>
    <w:rsid w:val="00FF2D2A"/>
    <w:rsid w:val="0314F361"/>
    <w:rsid w:val="17D7F4C2"/>
    <w:rsid w:val="1B5CD1BA"/>
    <w:rsid w:val="359543E1"/>
    <w:rsid w:val="5B011C3E"/>
    <w:rsid w:val="5C934477"/>
    <w:rsid w:val="67D53FDF"/>
    <w:rsid w:val="6A79F491"/>
    <w:rsid w:val="71F5ED10"/>
    <w:rsid w:val="7B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2333"/>
  <w15:docId w15:val="{874F5367-2A34-4712-A0C1-1A9B1FC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hAnsi="Calibri" w:eastAsia="ヒラギノ角ゴ Pro W3"/>
      <w:color w:val="000000"/>
      <w:position w:val="-1"/>
      <w:sz w:val="22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HeaderFooterA" w:customStyle="1">
    <w:name w:val="Header &amp; Footer A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tabs>
        <w:tab w:val="right" w:pos="9020"/>
      </w:tabs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 Neue" w:hAnsi="Helvetica Neue" w:eastAsia="ヒラギノ角ゴ Pro W3"/>
      <w:color w:val="000000"/>
      <w:position w:val="-1"/>
      <w:sz w:val="24"/>
    </w:rPr>
  </w:style>
  <w:style w:type="paragraph" w:styleId="Akapitzlist">
    <w:name w:val="List Paragraph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after="200" w:line="276" w:lineRule="auto"/>
      <w:ind w:left="720" w:leftChars="-1" w:hanging="1" w:hangingChars="1"/>
      <w:textDirection w:val="btLr"/>
      <w:textAlignment w:val="top"/>
      <w:outlineLvl w:val="0"/>
    </w:pPr>
    <w:rPr>
      <w:rFonts w:ascii="Calibri" w:hAnsi="Calibri" w:eastAsia="ヒラギノ角ゴ Pro W3"/>
      <w:color w:val="000000"/>
      <w:position w:val="-1"/>
      <w:sz w:val="22"/>
    </w:rPr>
  </w:style>
  <w:style w:type="paragraph" w:styleId="TableStyle2" w:customStyle="1">
    <w:name w:val="Table Style 2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 Neue" w:hAnsi="Helvetica Neue" w:eastAsia="ヒラギノ角ゴ Pro W3"/>
      <w:color w:val="000000"/>
      <w:position w:val="-1"/>
    </w:rPr>
  </w:style>
  <w:style w:type="paragraph" w:styleId="NormalA" w:customStyle="1">
    <w:name w:val="Normal A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lang w:val="en-US"/>
    </w:rPr>
  </w:style>
  <w:style w:type="paragraph" w:styleId="FreeForm" w:customStyle="1">
    <w:name w:val="Free Form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Body" w:customStyle="1">
    <w:name w:val="Body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" w:hAnsi="Helvetica" w:eastAsia="ヒラギノ角ゴ Pro W3"/>
      <w:color w:val="000000"/>
      <w:position w:val="-1"/>
      <w:sz w:val="24"/>
      <w:lang w:val="en-US"/>
    </w:rPr>
  </w:style>
  <w:style w:type="paragraph" w:styleId="Default" w:customStyle="1">
    <w:name w:val="Default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 Neue" w:hAnsi="Helvetica Neue" w:eastAsia="ヒラギノ角ゴ Pro W3"/>
      <w:color w:val="000000"/>
      <w:position w:val="-1"/>
      <w:sz w:val="22"/>
      <w:lang w:val="es-ES"/>
    </w:rPr>
  </w:style>
  <w:style w:type="character" w:styleId="NagwekZnak" w:customStyle="1">
    <w:name w:val="Nagłówek Znak"/>
    <w:rPr>
      <w:rFonts w:ascii="Calibri" w:hAnsi="Calibri" w:eastAsia="ヒラギノ角ゴ Pro W3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StopkaZnak" w:customStyle="1">
    <w:name w:val="Stopka Znak"/>
    <w:rPr>
      <w:rFonts w:ascii="Calibri" w:hAnsi="Calibri" w:eastAsia="ヒラギノ角ゴ Pro W3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D08B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ヒラギノ角ゴ Pro W3"/>
      <w:color w:val="000000"/>
      <w:position w:val="-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27615"/>
    <w:rPr>
      <w:rFonts w:ascii="Segoe UI" w:hAnsi="Segoe UI" w:eastAsia="ヒラギノ角ゴ Pro W3" w:cs="Segoe UI"/>
      <w:color w:val="000000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18/08/relationships/commentsExtensible" Target="commentsExtensible.xml" Id="R58f2645c5b4b48a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6Qy6S9QzgmCRNhAqb5Q1bb0fw==">AMUW2mUI4SPPaTH0wllLvFi03sLfjHwezMKjH75UBvGcHWzXl0+9WciCsy/u4on1SvrpMluJJrH50n33zvcnam4Ecjl0Jj09QSoKn+BCNOtP1AeD/nK1CB4=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Łukasz Borowiec</lastModifiedBy>
  <revision>15</revision>
  <dcterms:created xsi:type="dcterms:W3CDTF">2020-10-05T08:29:00.0000000Z</dcterms:created>
  <dcterms:modified xsi:type="dcterms:W3CDTF">2024-10-15T06:17:29.9753057Z</dcterms:modified>
</coreProperties>
</file>