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before="240" w:line="276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Wstęp do kultury amerykańskiej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American Culture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hab. U. Niewiadomska-Flis, prof. KUL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16"/>
        <w:gridCol w:w="69"/>
        <w:gridCol w:w="2258"/>
        <w:gridCol w:w="2261"/>
        <w:gridCol w:w="2258"/>
        <w:tblGridChange w:id="0">
          <w:tblGrid>
            <w:gridCol w:w="2216"/>
            <w:gridCol w:w="69"/>
            <w:gridCol w:w="2258"/>
            <w:gridCol w:w="2261"/>
            <w:gridCol w:w="2258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1"/>
          <w:trHeight w:val="5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przynajmniej B1+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Przedstawienie podstawowych zagadnień dotyczących dziejów i przemian kultury USA 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Wprowadzenie podstawowych pojęć z dziedziny kulturoznawstwa niezbędnych do analizy i interpretacji przemian kultury amerykańskiej na przestrzeni dziejów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Stworzenie kursu-pomostu między kursem Historii USA a Historią Literatury Amerykańskiej 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charakteryzuje przedmiot, zakres badań i terminologię właściwe dla kulturoznawstwa amerykańskiego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 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daje przykłady głównych kierunków rozwoju i najważniejszych nowych osiągnięć w zakresie kultury amerykańskiej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K_W05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wyciąga wnioski z wybranych społecznych dylematów kultury amerykańskiej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krytycznie formułuje sądy na podstawie analizowanych zagadnień z zakresu kultury amerykańskiej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stosuje specjalistyczną terminologię w języku angielskim z zakresu badań nad kulturą amerykańską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otwartość wobec tradycji i kultury amerykańskiej.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regions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Immigration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Religion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Race matters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Ethnic groups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Guns in America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Prisons and American legal system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Conspiracy theories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Art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religious diversity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American sports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  <w:r w:rsidDel="00000000" w:rsidR="00000000" w:rsidRPr="00000000">
        <w:rPr>
          <w:rtl w:val="0"/>
        </w:rPr>
      </w:r>
    </w:p>
    <w:tbl>
      <w:tblPr>
        <w:tblStyle w:val="Table6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zaliczeniowe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kolokwium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zaliczeniowe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kolokwium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zaliczeniowe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kolokwium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kultury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kolokwium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konwencjonalny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 Power Point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kultury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kolokwium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 (uwagi , ocena lub +/-)</w:t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Kolokwium semestralne w postaci testu pisemnego.</w:t>
      </w:r>
    </w:p>
    <w:p w:rsidR="00000000" w:rsidDel="00000000" w:rsidP="00000000" w:rsidRDefault="00000000" w:rsidRPr="00000000" w14:paraId="000000D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Aktywny udział w dyskusjach pozytywnie wpływa na ocenę końcową. Promowane jest również udział w dyskusji w trakcie Q&amp;A po wystąpieniach zaproszonych ekspertów/badaczy kultury amerykańskiej.</w:t>
      </w:r>
    </w:p>
    <w:p w:rsidR="00000000" w:rsidDel="00000000" w:rsidP="00000000" w:rsidRDefault="00000000" w:rsidRPr="00000000" w14:paraId="000000D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Za aktywny udział w dyskusjach student dostaje plusa.</w:t>
        <w:tab/>
        <w:tab/>
        <w:tab/>
        <w:tab/>
        <w:tab/>
        <w:tab/>
        <w:tab/>
        <w:t xml:space="preserve">7 i więcej plusów (ocena w górę)</w:t>
        <w:tab/>
        <w:tab/>
        <w:tab/>
        <w:tab/>
        <w:tab/>
        <w:tab/>
        <w:tab/>
        <w:tab/>
        <w:t xml:space="preserve">6-4 plusów (pół oceny w górę) </w:t>
        <w:tab/>
        <w:tab/>
        <w:tab/>
        <w:tab/>
        <w:tab/>
        <w:tab/>
        <w:tab/>
        <w:tab/>
        <w:tab/>
        <w:t xml:space="preserve">3-0 plusy (ocena z kolokwium wyznacza ocenę końcową)</w:t>
      </w:r>
    </w:p>
    <w:p w:rsidR="00000000" w:rsidDel="00000000" w:rsidP="00000000" w:rsidRDefault="00000000" w:rsidRPr="00000000" w14:paraId="000000E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Bez konsekwencji są dozwolone dwie nieobecności.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Skala ocen z kolokwium: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100-92%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</w:t>
        <w:tab/>
        <w:t xml:space="preserve">91-85%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84-77%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</w:t>
        <w:tab/>
        <w:t xml:space="preserve">76-69%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68-60%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  <w:tab/>
        <w:t xml:space="preserve">59-0%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7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23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34" w:right="0" w:hanging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Campbel, Neil l and Alasdair Kean.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 Cultural Studies: An Introduction to American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Routledge, 1997.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280" w:line="240" w:lineRule="auto"/>
              <w:ind w:left="34" w:right="0" w:hanging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Mauk, David and John Oakland.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American Civilization. An Introduction.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Routledge 2005 [or any new edition].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34" w:right="0" w:hanging="70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Temperley, Howard and Christopher Bigsby.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New Introduction to American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Pearson Longman 2006. 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76"/>
        </w:tabs>
        <w:spacing w:after="20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smallCaps w:val="0"/>
        <w:strike w:val="0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744" w:hanging="573"/>
      </w:pPr>
      <w:rPr>
        <w:b w:val="1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łącze">
    <w:name w:val="Hiperłącze"/>
    <w:next w:val="Hiperłącze"/>
    <w:autoRedefine w:val="0"/>
    <w:hidden w:val="0"/>
    <w:qFormat w:val="0"/>
    <w:rPr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bdr w:space="0" w:sz="0" w:val="nil"/>
      <w:vertAlign w:val="baseline"/>
      <w:cs w:val="0"/>
      <w:em w:val="none"/>
      <w:lang w:bidi="ar-SA" w:eastAsia="pl-PL" w:val="pl-PL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łówek">
    <w:name w:val="Nagłówek"/>
    <w:next w:val="Nagłówek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character" w:styleId="None">
    <w:name w:val="None"/>
    <w:next w:val="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Header&amp;Footer">
    <w:name w:val="Header &amp; Footer"/>
    <w:next w:val="Header&amp;Footer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right" w:leader="none" w:pos="90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 Neue" w:cs="Helvetica Neue" w:eastAsia="Helvetica Neue" w:hAnsi="Helvetica Neue"/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Akapitzlistą">
    <w:name w:val="Akapit z listą"/>
    <w:next w:val="Akapitzlistą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numbering" w:styleId="ImportedStyle1">
    <w:name w:val="Imported Style 1"/>
    <w:next w:val="ImportedStyle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ableStyle2">
    <w:name w:val="Table Style 2"/>
    <w:next w:val="TableStyle2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numbering" w:styleId="ImportedStyle2">
    <w:name w:val="Imported Style 2"/>
    <w:next w:val="ImportedStyle2"/>
    <w:autoRedefine w:val="0"/>
    <w:hidden w:val="0"/>
    <w:qFormat w:val="0"/>
    <w:pPr>
      <w:numPr>
        <w:ilvl w:val="0"/>
        <w:numId w:val="8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A">
    <w:name w:val="Body A"/>
    <w:next w:val="BodyA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pl-PL"/>
    </w:rPr>
  </w:style>
  <w:style w:type="paragraph" w:styleId="v1msonormal">
    <w:name w:val="v1msonormal"/>
    <w:basedOn w:val="Normalny"/>
    <w:next w:val="v1msonormal"/>
    <w:autoRedefine w:val="0"/>
    <w:hidden w:val="0"/>
    <w:qFormat w:val="0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color w:val="auto"/>
      <w:w w:val="100"/>
      <w:position w:val="-1"/>
      <w:sz w:val="24"/>
      <w:szCs w:val="24"/>
      <w:effect w:val="none"/>
      <w:bdr w:color="auto" w:space="0" w:sz="0" w:val="none"/>
      <w:vertAlign w:val="baseline"/>
      <w:cs w:val="0"/>
      <w:em w:val="none"/>
      <w:lang w:bidi="ar-SA" w:eastAsia="pl-PL" w:val="pl-PL"/>
    </w:rPr>
  </w:style>
  <w:style w:type="character" w:styleId="v1gmail-none">
    <w:name w:val="v1gmail-none"/>
    <w:basedOn w:val="Domyślnaczcionkaakapitu"/>
    <w:next w:val="v1gmail-n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Domyślnaczcionkaakapitu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agłówekZnak">
    <w:name w:val="Nagłówek Znak"/>
    <w:basedOn w:val="Domyślnaczcionkaakapitu"/>
    <w:next w:val="NagłówekZnak"/>
    <w:autoRedefine w:val="0"/>
    <w:hidden w:val="0"/>
    <w:qFormat w:val="0"/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paragraph" w:styleId="Body">
    <w:name w:val="Body"/>
    <w:next w:val="Bod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paragraph" w:styleId="Stopka">
    <w:name w:val="Stopka"/>
    <w:basedOn w:val="Normalny"/>
    <w:next w:val="Stopka"/>
    <w:autoRedefine w:val="0"/>
    <w:hidden w:val="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tabs>
        <w:tab w:val="center" w:leader="none" w:pos="4703"/>
        <w:tab w:val="right" w:leader="none" w:pos="940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bidi="ar-SA" w:eastAsia="pl-PL" w:val="en-US"/>
    </w:rPr>
  </w:style>
  <w:style w:type="character" w:styleId="StopkaZnak">
    <w:name w:val="Stopka Znak"/>
    <w:basedOn w:val="Domyślnaczcionkaakapitu"/>
    <w:next w:val="StopkaZnak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bdr w:space="0" w:sz="0" w:val="nil"/>
      <w:vertAlign w:val="baseline"/>
      <w:cs w:val="0"/>
      <w:em w:val="none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hzussl58jWHlYklFc0uTwppfA==">AMUW2mXwK4dIPyuPfGHXfhEzm/9KZqrggv4GnUHu/7w2KFT6XwdQSLCCnncWYyawIpS5CYYvpM6M/Iy2gH5Xt+v17nwvpWK6kx/YbqLLf8VzBbW7/HAfcAsDrd3MN+QX6LIIuNgm56Ws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2022-05-03T17:00:00Z</dcterms:created>
  <dc:creator>Urszula Niewiadomska-Flis</dc:creator>
</cp:coreProperties>
</file>