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26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664"/>
        <w:tblGridChange w:id="0">
          <w:tblGrid>
            <w:gridCol w:w="4545"/>
            <w:gridCol w:w="4664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Sprawności zintegrowane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– Integrated skills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661"/>
        <w:tblGridChange w:id="0">
          <w:tblGrid>
            <w:gridCol w:w="4548"/>
            <w:gridCol w:w="466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Karolina Drabikowska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405"/>
        <w:tblGridChange w:id="0">
          <w:tblGrid>
            <w:gridCol w:w="2285"/>
            <w:gridCol w:w="2258"/>
            <w:gridCol w:w="2261"/>
            <w:gridCol w:w="2405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I, 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3"/>
        <w:gridCol w:w="6946"/>
        <w:tblGridChange w:id="0">
          <w:tblGrid>
            <w:gridCol w:w="2263"/>
            <w:gridCol w:w="6946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co najmniej B1+</w:t>
            </w:r>
          </w:p>
        </w:tc>
      </w:tr>
    </w:tbl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43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21"/>
        <w:gridCol w:w="8822"/>
        <w:tblGridChange w:id="0">
          <w:tblGrid>
            <w:gridCol w:w="421"/>
            <w:gridCol w:w="882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Opanowanie stopnia kompetencji językowej odpowiadającej poziomowi B2 zgodnie z 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Usystematyzowanie i uporządkowanie oraz poszerzenie i ugruntowanie zasobu słownictwa w oparciu o sprawności receptywne i produktywne.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Zwiększenie świadomości i znajomości wielości znaczeń i kontekstów użycia kolokacji, związków frazeologicznych, wyrażeń i zwrotów w języku angielskim oraz wykształcenie większej precyzji w ich doborze w zależności od kontekstu.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Wykształcenie potrzeby bardziej dojrzałego i wnikliwego korzystania ze słowników (tj. z uwzględnieniem kolokacji, przykładowych zdań, słowotwórstwa, rejestru, zastosowań w języku mówionym i pisanym).</w:t>
            </w:r>
          </w:p>
        </w:tc>
      </w:tr>
    </w:tbl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6"/>
        <w:gridCol w:w="6237"/>
        <w:gridCol w:w="2126"/>
        <w:tblGridChange w:id="0">
          <w:tblGrid>
            <w:gridCol w:w="846"/>
            <w:gridCol w:w="6237"/>
            <w:gridCol w:w="2126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konteksty i rejestry języka angielskiego w odniesieniu do użycia odpowiedniego słownictwa w różnych zakresach tematycznych.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ilustruje użycie słów i związków frazeologicznych z uwzględnieniem ich cech gramatycznych.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nabytą wiedzę dla poprawnego komunikowania się, obejmującego czytanie i słuchanie ze zrozumieniem, a także konstruowanie poprawnych wypowiedzi ustnych i pisemnych.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K_U05, 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dyskutuje na przewidziane programem tematy z użyciem różnorodnych form i struktur dla precyzyjnego i poprawnego logicznie wyrażenia swoich myśli i sądów, a także prezentowania różnych opinii i stanowisk.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K_U05, K_U06, K_U07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projektuje pracę indywidualną i grupową w zakresie omawianych tematów oraz zleconych zadań i projektów.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K_U06, K_U08, K_U09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samodzielnie rozwija swoje kompetencje i zasób słownictwa z wykorzystaniem dostępnych słowników i narzędzi cyfrowych.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K_U03, K_U09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poddaje krytycznej ocenie wiedzę i umiejętności własne i innych uczestników zajęć w zakresie omawianych treści.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dba o jakość swojej wypowiedzi poprzez zastosowanie nabytej wiedzy i umiejętności w zakresie omawianych treści.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1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 / treści programowe</w:t>
      </w:r>
    </w:p>
    <w:tbl>
      <w:tblPr>
        <w:tblStyle w:val="Table7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43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do kursu. Wprowadzenie do pracy z tekstem i ze słownikiem. Zajęcia tematyczne: Beginnings; experiences; feelings; personalities, appearance and fashion; relationships, family and friends; issues; the environment; social media; ideas and innovations; technology; science; travel; adventures; sport; plans and decisions; education; work and career; business; advertising; lifestyles; age; health and body; food; lies and truth; communication; gestures and rituals; crime; being creative; hobbies; celebrity culture; books, music and film. Zajęcia powtórzeniowe; Podsumowanie semestru i roku.</w:t>
            </w:r>
          </w:p>
        </w:tc>
      </w:tr>
    </w:tbl>
    <w:p w:rsidR="00000000" w:rsidDel="00000000" w:rsidP="00000000" w:rsidRDefault="00000000" w:rsidRPr="00000000" w14:paraId="00000081">
      <w:pPr>
        <w:keepNext w:val="1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6"/>
        <w:gridCol w:w="3118"/>
        <w:gridCol w:w="2835"/>
        <w:gridCol w:w="2410"/>
        <w:tblGridChange w:id="0">
          <w:tblGrid>
            <w:gridCol w:w="846"/>
            <w:gridCol w:w="3118"/>
            <w:gridCol w:w="2835"/>
            <w:gridCol w:w="2410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4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6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8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 i materiałem audiowizualnym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wykonanie projektu,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test, zapis w arkuszu ocen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 i materiałem audiowizualnym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wykonanie projektu,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test, zapis w arkuszu ocen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mózgów/giełda pomysłów, ćwiczenia praktyczne, gra dydaktyczna, odgrywanie ról (drama), dyskusja, metoda projektu, praca zespołowa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wykonanie projektu,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test, zapis w arkuszu ocen</w:t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mózgów/giełda pomysłów, ćwiczenia praktyczne, gra dydaktyczna, odgrywanie ról (drama), dyskusja, metoda projektu, praca zespołowa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mózgów/giełda pomysłów, ćwiczenia praktyczne, gra dydaktyczna, odgrywanie ról (drama), dyskusja, metoda projektu, praca zespołowa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projektu, obserwacja,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mózgów/giełda pomysłów, ćwiczenia praktyczne, gra dydaktyczna, dyskusja, metoda projektu, praca zespołowa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Test, wykonanie projektu, obserwacja,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test, zapis w arkuszu ocen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praktyczne, gra dydaktyczna, dyskusja, metoda projektu, praca w grupach w różnych rolach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projektu, obserwacja,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 dydaktyczna, dyskusja, metoda projektu, praca w grupach w różnych rolach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Wykonanie projektu, obserwacja, odpowiedź ustna w trakcie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Podstawą zaliczenia przedmiotu jest obecność na zajęciach (z możliwością 2 nieobecności nieusprawiedliwionych) oraz aktywność m.in. w postaci odpowiedzi ustnych. Podstawowym kryterium oceniania są testy sprawdzające znajomość materiału leksykalnego oraz sprawności czytania i słuchania ze zrozumieniem, a w drugim semestrze także projekt audiowizualny.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 pierwszym semestrze ocena końcowa zostaje obliczona na podstawie:</w:t>
        <w:br w:type="textWrapping"/>
        <w:t xml:space="preserve">- 5 zapowiedzianych małych testów (In-class Tests) obejmujących materiał z ostatnich 4 lub 5 zajęć oraz sprawdzających jedną ze sprawności (czytanie lub słuchanie ze zrozumieniem) (maks. 200 pkt);</w:t>
        <w:br w:type="textWrapping"/>
        <w:t xml:space="preserve">- 2 zapowiedzianych testów śród- i końcowo-semestralnych (Big Tests) obejmujących materiał omówiony w danym kwartale oraz dwie sprawności: czytanie i słuchanie ze zrozumieniem (maks. 200 pkt)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  <w:t xml:space="preserve">W drugim semestrze ocena końcowa zostaje obliczona na podstawie:</w:t>
        <w:br w:type="textWrapping"/>
        <w:t xml:space="preserve">- 4 zapowiedzianych małych testów (In-class Tests) obejmujących materiał z ostatnich 2 lub 3 zajęć oraz sprawdzających jedną ze sprawności (czytanie lub słuchanie ze zrozumieniem) (maks. 200 pkt);</w:t>
        <w:br w:type="textWrapping"/>
        <w:t xml:space="preserve">- 2 zapowiedzianych testów śród- i końcowo-semestralnych (Big Tests) obejmujących materiał omówiony w danym kwartale oraz dwie sprawności: czytanie i słuchanie ze zrozumieniem (maks. 200 pkt);</w:t>
        <w:br w:type="textWrapping"/>
        <w:t xml:space="preserve">- projektu multimedialnego/audiowizualnego (filmiku) przygotowanego indywidualnie lub w parach na zadany temat (maks. 50 pkt) – projekt podlega ocenie prowadzącego i innych uczestników kursu.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Wynik końcowy jest średnią ważoną wyników wszystkich testów (w drugim semestrze także projektu). Poszczególne wagi są obliczane na podstawie maksymalnej liczby punktów do uzyskania w każdym teście/projekcie. Tego rodzaju średnia równa się stosunkowi sumy uzyskanych przez studenta punktów do maksymalnej liczby punktów możliwych do uzyskania w danym semestrze.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Skala ocen końcowych to:</w:t>
        <w:br w:type="textWrapping"/>
        <w:t xml:space="preserve">5     93-100%</w:t>
        <w:br w:type="textWrapping"/>
        <w:t xml:space="preserve">4.5  85-92%</w:t>
        <w:br w:type="textWrapping"/>
        <w:t xml:space="preserve">4     77-84%</w:t>
        <w:br w:type="textWrapping"/>
        <w:t xml:space="preserve">3.5  69-76%</w:t>
        <w:br w:type="textWrapping"/>
        <w:t xml:space="preserve">3     60-68%</w:t>
        <w:br w:type="textWrapping"/>
        <w:t xml:space="preserve">2     0-59%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Obciążenie pracą studenta</w:t>
      </w:r>
    </w:p>
    <w:tbl>
      <w:tblPr>
        <w:tblStyle w:val="Table9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671"/>
        <w:tblGridChange w:id="0">
          <w:tblGrid>
            <w:gridCol w:w="4538"/>
            <w:gridCol w:w="46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180</w:t>
            </w:r>
          </w:p>
        </w:tc>
      </w:tr>
    </w:tbl>
    <w:p w:rsidR="00000000" w:rsidDel="00000000" w:rsidP="00000000" w:rsidRDefault="00000000" w:rsidRPr="00000000" w14:paraId="000000C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0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Speakout Upper-Intermediate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1st edition. 2011. F. Eales and S. Oakes. Pearson. (Students’ Book i Workbook)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English Vocabulary in Use Upper-intermediate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edition. 2017. M. McCarthy and F. O'Dell. Cambridge University Press.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284" w:hanging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Materiały opracowane przez nauczyciela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Rekomendowane słowniki do pracy samodzielnej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Oxford Advanced Learner’s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 https://www.oxfordlearnersdictionaries.com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Cambridge English Dictionary: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https://dictionary.cambridge.org/dictionary/english/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Longman Dictionary of Contemporary English: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https://www.ldoceonline.com/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Collins Dictionary: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https://www.collinsdictionary.com/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Macmillan English Dictionary: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https://www.macmillandictionary.com/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J.C. Wells,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Longman Pronunciation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Harlow: Pearson Education Limited.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PWN Oxford Dictionary, Polish-English/English-Polish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keepNext w:val="1"/>
        <w:widowControl w:val="0"/>
        <w:spacing w:after="120" w:before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7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i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i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i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i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i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i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i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Bezodstpw">
    <w:name w:val="No Spacing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0" w:customStyle="1">
    <w:name w:val="Imported Style 1.0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rFonts w:ascii="Calibri" w:cs="Calibri" w:eastAsia="Calibri" w:hAnsi="Calibri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278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27872"/>
    <w:rPr>
      <w:rFonts w:ascii="Segoe UI" w:cs="Segoe UI" w:eastAsia="Calibri" w:hAnsi="Segoe UI"/>
      <w:color w:val="000000"/>
      <w:sz w:val="18"/>
      <w:szCs w:val="18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715AB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15ABE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57.0" w:type="dxa"/>
        <w:bottom w:w="28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ySwEk0ax9+GXQOdMi7BJksPTg==">AMUW2mWvIfRn9HGh6A1exDgU6/5ITkRmh+RzsabRAjJBXkRucOVOhfE0LQsvR2AsCgAAKTEmGnYKz4URe043W3JvhyeEtugFTjYbNd36FtPUsqSd7l6a94dz2qzW3CuzAb0RjcwLDK2S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2020-05-27T12:13:00Z</dcterms:created>
  <dc:creator>Karolina Drabikowska</dc:creator>
</cp:coreProperties>
</file>