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4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before="240" w:line="276" w:lineRule="auto"/>
        <w:rPr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211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Praktyczna Nauka języka angielskiego - sprawności zintegrowane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Practical English – Integrated Skills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Językoznawstwo, 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11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dr Dominika Bugno-Narecka,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dr hab. Wojciech Malec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mgr Katarzyna Łogożna-Wypych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66"/>
        <w:gridCol w:w="2267"/>
        <w:gridCol w:w="2267"/>
        <w:gridCol w:w="2266"/>
        <w:tblGridChange w:id="0">
          <w:tblGrid>
            <w:gridCol w:w="2266"/>
            <w:gridCol w:w="2267"/>
            <w:gridCol w:w="2267"/>
            <w:gridCol w:w="22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Forma zajęć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III, IV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211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34"/>
        <w:gridCol w:w="6977"/>
        <w:tblGridChange w:id="0">
          <w:tblGrid>
            <w:gridCol w:w="2234"/>
            <w:gridCol w:w="697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Poziom znajomości języka angielskiego B2.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II. Cele kształcenia dla przedmiotu </w:t>
      </w:r>
    </w:p>
    <w:tbl>
      <w:tblPr>
        <w:tblStyle w:val="Table5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C1 Usystematyzowanie i uporządkowanie oraz poszerzenie i ugruntowanie zasobu słownictwa w oparciu o sprawności receptywne i produktywne.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C2 Zwiększenie świadomości i znajomości wielości znaczeń i kontekstów użycia kolokacji, związków frazeologicznych, wyrażeń i zwrotów w języku angielskim.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C3 Wykształcenie potrzeby bardziej dojrzałego i wnikliwego korzystania ze słowników (tj. z uwzględnieniem kolokacji, przykładowych zdań, słowotwórstwa, rejestru, zastosowań w języku mówionym i pisanym).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C4 Wykształcenie większej precyzji w doborze wyrażeń w zależności od kontekstu.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vertAlign w:val="baseline"/>
                <w:rtl w:val="0"/>
              </w:rPr>
              <w:t xml:space="preserve">Opanowanie stopnia kompetencji językowej odpowiadającej poziomowi C1 zgodnie z wymaganiami określonymi przez Europejski System Opisu Kształcenia Językowego.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186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3"/>
        <w:gridCol w:w="6097"/>
        <w:gridCol w:w="2126"/>
        <w:tblGridChange w:id="0">
          <w:tblGrid>
            <w:gridCol w:w="963"/>
            <w:gridCol w:w="6097"/>
            <w:gridCol w:w="2126"/>
          </w:tblGrid>
        </w:tblGridChange>
      </w:tblGrid>
      <w:tr>
        <w:trPr>
          <w:cantSplit w:val="0"/>
          <w:trHeight w:val="8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identyfikuje podstawowe rejestry i mechanizmy funkcjonowania języka w kontekście sprawności językowych.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K_W01,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ilustruje użycie słów i związków frazeologicznych z uwzględnieniem ich cech gramatycznych.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K_W01, K_W06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dyskutuje na przewidziane w programie tematy z użyciem różnorodnych form i struktur, precyzyjnie i poprawnie logicznie wyrażając swoje myśli i sądy, a także prezentując różne opinie i stanowiska.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K_U04, K_U05, K_U06, K_U07,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stosuje nabytą wiedzę w procesie poprawnego komunikowania się w języku angielskim.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K_U04, K_U05, K_U06,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projektuje pracę indywidualną i grupową w zakresie omawianych tematów oraz zleconych zadań i projektów.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K_U06, K_U08, K_U09,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samodzielnie rozwija swoje kompetencje językowe i zasób słownictwa z wykorzystaniem dostępnych słowników i narzędzi cyfrowych.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K_U01, K_U03, K_U09,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poddaje krytycznej ocenie wiedzę i umiejętności własne i innych uczestników zajęć w zakresie omawianych treści.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K_K01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Student dba o jakość swojej wypowiedzi poprzez zastosowanie nabytej wiedzy i umiejętności w zakresie omawianych treści.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center"/>
              <w:rPr>
                <w:rFonts w:ascii="Helvetica Neue" w:cs="Helvetica Neue" w:eastAsia="Helvetica Neue" w:hAnsi="Helvetica Neue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K_K03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spacing w:after="120" w:before="240" w:line="276" w:lineRule="auto"/>
        <w:ind w:left="1080" w:hanging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Opis przedmiotu/ treści programowe</w:t>
      </w:r>
      <w:r w:rsidDel="00000000" w:rsidR="00000000" w:rsidRPr="00000000">
        <w:rPr>
          <w:rtl w:val="0"/>
        </w:rPr>
      </w:r>
    </w:p>
    <w:tbl>
      <w:tblPr>
        <w:tblStyle w:val="Table7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4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III</w:t>
            </w:r>
          </w:p>
          <w:p w:rsidR="00000000" w:rsidDel="00000000" w:rsidP="00000000" w:rsidRDefault="00000000" w:rsidRPr="00000000" w14:paraId="0000008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Wprowadzenie</w:t>
            </w:r>
          </w:p>
          <w:p w:rsidR="00000000" w:rsidDel="00000000" w:rsidP="00000000" w:rsidRDefault="00000000" w:rsidRPr="00000000" w14:paraId="00000084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Team Building</w:t>
            </w:r>
          </w:p>
          <w:p w:rsidR="00000000" w:rsidDel="00000000" w:rsidP="00000000" w:rsidRDefault="00000000" w:rsidRPr="00000000" w14:paraId="00000085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Online/Offline</w:t>
            </w:r>
          </w:p>
          <w:p w:rsidR="00000000" w:rsidDel="00000000" w:rsidP="00000000" w:rsidRDefault="00000000" w:rsidRPr="00000000" w14:paraId="00000086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87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Kidfluencers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Changes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Work, work, work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Local issues</w:t>
            </w:r>
          </w:p>
          <w:p w:rsidR="00000000" w:rsidDel="00000000" w:rsidP="00000000" w:rsidRDefault="00000000" w:rsidRPr="00000000" w14:paraId="0000008B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8C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Ideas</w:t>
            </w:r>
          </w:p>
          <w:p w:rsidR="00000000" w:rsidDel="00000000" w:rsidP="00000000" w:rsidRDefault="00000000" w:rsidRPr="00000000" w14:paraId="0000008D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Problems, problems</w:t>
            </w:r>
          </w:p>
          <w:p w:rsidR="00000000" w:rsidDel="00000000" w:rsidP="00000000" w:rsidRDefault="00000000" w:rsidRPr="00000000" w14:paraId="0000008E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Fact or fiction</w:t>
            </w:r>
          </w:p>
          <w:p w:rsidR="00000000" w:rsidDel="00000000" w:rsidP="00000000" w:rsidRDefault="00000000" w:rsidRPr="00000000" w14:paraId="0000008F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90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Powtórzenie materiału</w:t>
            </w:r>
          </w:p>
          <w:p w:rsidR="00000000" w:rsidDel="00000000" w:rsidP="00000000" w:rsidRDefault="00000000" w:rsidRPr="00000000" w14:paraId="00000091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Podsumowanie</w:t>
            </w:r>
          </w:p>
        </w:tc>
      </w:tr>
      <w:tr>
        <w:trPr>
          <w:cantSplit w:val="0"/>
          <w:trHeight w:val="40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Semestr IV</w:t>
            </w:r>
          </w:p>
          <w:p w:rsidR="00000000" w:rsidDel="00000000" w:rsidP="00000000" w:rsidRDefault="00000000" w:rsidRPr="00000000" w14:paraId="0000009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Wprowadzenie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Dystopias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Consumer affairs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Signs of the times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Journeys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It’s a scam!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Skills for life</w:t>
            </w:r>
          </w:p>
          <w:p w:rsidR="00000000" w:rsidDel="00000000" w:rsidP="00000000" w:rsidRDefault="00000000" w:rsidRPr="00000000" w14:paraId="0000009C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9D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We all do it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Pivotal moments</w:t>
            </w:r>
          </w:p>
          <w:p w:rsidR="00000000" w:rsidDel="00000000" w:rsidP="00000000" w:rsidRDefault="00000000" w:rsidRPr="00000000" w14:paraId="0000009F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Urban survival</w:t>
            </w:r>
          </w:p>
          <w:p w:rsidR="00000000" w:rsidDel="00000000" w:rsidP="00000000" w:rsidRDefault="00000000" w:rsidRPr="00000000" w14:paraId="000000A0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English in action</w:t>
            </w:r>
          </w:p>
          <w:p w:rsidR="00000000" w:rsidDel="00000000" w:rsidP="00000000" w:rsidRDefault="00000000" w:rsidRPr="00000000" w14:paraId="000000A1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Powtórzenie materiału</w:t>
            </w:r>
          </w:p>
          <w:p w:rsidR="00000000" w:rsidDel="00000000" w:rsidP="00000000" w:rsidRDefault="00000000" w:rsidRPr="00000000" w14:paraId="000000A2">
            <w:pPr>
              <w:numPr>
                <w:ilvl w:val="0"/>
                <w:numId w:val="12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Podsumowanie</w:t>
            </w:r>
          </w:p>
        </w:tc>
      </w:tr>
    </w:tbl>
    <w:p w:rsidR="00000000" w:rsidDel="00000000" w:rsidP="00000000" w:rsidRDefault="00000000" w:rsidRPr="00000000" w14:paraId="000000A3">
      <w:pPr>
        <w:spacing w:after="120" w:before="240" w:line="276" w:lineRule="auto"/>
        <w:ind w:left="108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5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82"/>
        <w:gridCol w:w="2650"/>
        <w:gridCol w:w="2907"/>
        <w:gridCol w:w="2426"/>
        <w:tblGridChange w:id="0">
          <w:tblGrid>
            <w:gridCol w:w="1082"/>
            <w:gridCol w:w="2650"/>
            <w:gridCol w:w="2907"/>
            <w:gridCol w:w="2426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i w:val="1"/>
                <w:smallCaps w:val="0"/>
                <w:strike w:val="0"/>
                <w:color w:val="c0504d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i w:val="1"/>
                <w:smallCaps w:val="0"/>
                <w:strike w:val="0"/>
                <w:color w:val="c0504d"/>
                <w:sz w:val="22"/>
                <w:szCs w:val="22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Dyskusja, gra dydaktyczna, praca z tekstem i materiałem audiowizualnym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Kolokwium / Test / Sprawdzian pisemny/ 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Uzupełnione i ocenione kolokwium / Test / Sprawdzian pisemny,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Dyskusja, gra dydaktyczna, praca z tekstem i materiałem audiowizualnym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Kolokwium / Test / Sprawdzian pisemny, 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Uzupełnione i ocenione kolokwium / Test / Sprawdzian pisemny,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Burza mózgów/giełda pomysłów, ćwiczenia praktyczne, dyskusja,  praca indywidualna, metoda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wykonanie projektu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Uzupełniony i oceniony test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Ustna informacja zwrotna,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Burza mózgów/giełda pomysłów, dyskusja, odgrywanie ról (drama), gra dydaktyczna,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w grupach w różnych rolach,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Uzupełniony i oceniony test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Ustna informacja zwrotna,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Burza mózgów/giełda pomysłów, dyskusja, odgrywanie ról (drama), gra dydaktyczna,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w grupach w różnych rolach, 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Test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Uzupełniony i oceniony test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Ustna informacja zwrotna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Dyskusja, gra dydaktyczna,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indywidualna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Test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Uzupełniony i oceniony test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Dyskusja, odgrywanie ról (drama), gra dydaktyczna,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Obserwacja, przygotowanie / wykonanie projektu,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Ustna informacja zwrotna, 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z tekstem i materiałem audiowizualnym, dyskusja, gra dydaktyczna,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praca w grupach w różnych rolach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Obserwacja, wykonanie projektu, odpowiedź ustna w trakcie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Ustna informacja zwrotna, zapis w arkuszu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E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Kryteria oceny, wag</w:t>
      </w:r>
      <w:r w:rsidDel="00000000" w:rsidR="00000000" w:rsidRPr="00000000">
        <w:rPr>
          <w:b w:val="1"/>
          <w:sz w:val="22"/>
          <w:szCs w:val="22"/>
          <w:rtl w:val="0"/>
        </w:rPr>
        <w:t xml:space="preserve">i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Podstawowym kryterium oceniania są testy sprawdzające znajomość materiału leksykalnego oraz sprawności czytania i słuchania ze zrozumieniem. Ich częstotliwość jest zaplanowana tak, aby wyrobić w studentach nawyk pracy regularnej, niezbędnej do </w:t>
      </w:r>
      <w:r w:rsidDel="00000000" w:rsidR="00000000" w:rsidRPr="00000000">
        <w:rPr>
          <w:sz w:val="22"/>
          <w:szCs w:val="22"/>
          <w:rtl w:val="0"/>
        </w:rPr>
        <w:t xml:space="preserve">osiągnięcia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 satysfakcjonujących efektów. Do oceny brana jest także pod uwagę obecność i aktywność studentów na zajęciach oraz jakość odpowiedzi ustnych w ramach zadanych oral assignments. 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Na drugim roku przeprowadza się: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Testy leksykalne (in-class tests) sprawdzające wiedzę z ostatniego rozdziału. Jeśli rozdział jest bardzo krótki, test może obejmować materiał z dwóch rozdziałów. 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hanging="36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 zapowiedziane testy leksykalne śród- i końcowo-semestralne (Big Tests) obejmujące materiał omówiony w danym kwartale.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Wynik końcowy jest średnią ważoną wyników wszystkich testów oraz wypowiedzi ustnych (oral assignments). Poszczególne wagi nie są jednak ustalane z góry, lecz obliczane automatycznie na podstawie maksymalnej liczby punktów do uzyskania na każdym teście i zadaniu ustnym. Tego rodzaju średnia równa się stosunkowi sumy punktów uzyskanych na wszystkich testach do maksymalnej liczby punktów możliwych do uzyskania.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4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Skala ocen końcowych to: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2</w:t>
        <w:tab/>
        <w:t xml:space="preserve">poniżej</w:t>
        <w:tab/>
        <w:t xml:space="preserve">60%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3</w:t>
        <w:tab/>
        <w:t xml:space="preserve">od</w:t>
        <w:tab/>
        <w:t xml:space="preserve">60%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3.5</w:t>
        <w:tab/>
        <w:t xml:space="preserve">od</w:t>
        <w:tab/>
        <w:t xml:space="preserve">68%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4</w:t>
        <w:tab/>
        <w:t xml:space="preserve">od</w:t>
        <w:tab/>
        <w:t xml:space="preserve">76%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4.5</w:t>
        <w:tab/>
        <w:t xml:space="preserve">od</w:t>
        <w:tab/>
        <w:t xml:space="preserve">84%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851"/>
        </w:tabs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5</w:t>
        <w:tab/>
        <w:t xml:space="preserve">od</w:t>
        <w:tab/>
        <w:t xml:space="preserve">92%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highlight w:val="white"/>
          <w:vertAlign w:val="baseline"/>
          <w:rtl w:val="0"/>
        </w:rPr>
        <w:t xml:space="preserve">Dopuszczalne są dwie nieusprawiedliwione nieobecności, a 3 i kolejna nieobecność wymaga usprawiedliwienia. W przypadku nieobecności na teście usprawiedliwienie nieobecności jest obowiązkowe.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211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606"/>
        <w:gridCol w:w="4605"/>
        <w:tblGridChange w:id="0">
          <w:tblGrid>
            <w:gridCol w:w="4606"/>
            <w:gridCol w:w="460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7.97851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76" w:lineRule="auto"/>
        <w:ind w:left="1080" w:right="0" w:hanging="720"/>
        <w:jc w:val="left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212.0" w:type="dxa"/>
        <w:jc w:val="left"/>
        <w:tblInd w:w="54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12"/>
        <w:tblGridChange w:id="0">
          <w:tblGrid>
            <w:gridCol w:w="9212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2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3">
            <w:pPr>
              <w:numPr>
                <w:ilvl w:val="0"/>
                <w:numId w:val="7"/>
              </w:numPr>
              <w:ind w:left="284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Roadmap C1-C2.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2021. Jonathan Bygrave, Jeremy Day, Lindsay Warwick &amp; Damian Williams. Pearson Education Limited.</w:t>
            </w:r>
          </w:p>
          <w:p w:rsidR="00000000" w:rsidDel="00000000" w:rsidP="00000000" w:rsidRDefault="00000000" w:rsidRPr="00000000" w14:paraId="00000114">
            <w:pPr>
              <w:numPr>
                <w:ilvl w:val="0"/>
                <w:numId w:val="7"/>
              </w:numPr>
              <w:ind w:left="284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Vocabulary in Use: Advanced.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2017.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Michael McCarthy &amp; Felicity O’Dell.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Cambridge University Press.</w:t>
            </w:r>
          </w:p>
          <w:p w:rsidR="00000000" w:rsidDel="00000000" w:rsidP="00000000" w:rsidRDefault="00000000" w:rsidRPr="00000000" w14:paraId="00000115">
            <w:pPr>
              <w:numPr>
                <w:ilvl w:val="0"/>
                <w:numId w:val="7"/>
              </w:numPr>
              <w:ind w:left="284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English Collocations in Use: Advanced.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2017. Michael McCarthy &amp; Felicity O’Dell. Cambridge University Press.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7"/>
              </w:numPr>
              <w:ind w:left="284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Oxford Word Skills: Upper-Intermediate – Advanced.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2020. Ruth Gairns &amp; Stuart Redman.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Oxford University Press.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shd w:fill="auto" w:val="clear"/>
                <w:vertAlign w:val="baseline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1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Rekomendowane słowniki do pracy samodzielnej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Oxford Advanced Learner’s Dictionary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: https://www.oxfordlearnersdictionaries.com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Cambridge English Dictionary: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https://dictionary.cambridge.org/dictionary/english/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Longman Dictionary of Contemporary English: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https://www.ldoceonline.com/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Collins Dictionary: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https://www.collinsdictionary.com/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Macmillan English Dictionary: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https://www.macmillandictionary.com/</w:t>
            </w:r>
          </w:p>
          <w:p w:rsidR="00000000" w:rsidDel="00000000" w:rsidP="00000000" w:rsidRDefault="00000000" w:rsidRPr="00000000" w14:paraId="0000011E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J.C. Wells, 2000. </w:t>
            </w: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Longman Pronunciation Dictionary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. Harlow: Pearson Education Limited.</w:t>
            </w:r>
          </w:p>
          <w:p w:rsidR="00000000" w:rsidDel="00000000" w:rsidP="00000000" w:rsidRDefault="00000000" w:rsidRPr="00000000" w14:paraId="0000011F">
            <w:pPr>
              <w:numPr>
                <w:ilvl w:val="0"/>
                <w:numId w:val="10"/>
              </w:numPr>
              <w:ind w:left="360"/>
              <w:rPr>
                <w:sz w:val="22"/>
                <w:szCs w:val="22"/>
              </w:rPr>
            </w:pPr>
            <w:r w:rsidDel="00000000" w:rsidR="00000000" w:rsidRPr="00000000">
              <w:rPr>
                <w:i w:val="1"/>
                <w:sz w:val="22"/>
                <w:szCs w:val="22"/>
                <w:rtl w:val="0"/>
              </w:rPr>
              <w:t xml:space="preserve">PWN Oxford Dictionary, Polish-English/English-Polish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, Oxford University Press.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0">
      <w:pPr>
        <w:widowControl w:val="0"/>
        <w:spacing w:after="12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tabs>
        <w:tab w:val="center" w:pos="4536"/>
        <w:tab w:val="right" w:pos="9072"/>
        <w:tab w:val="center" w:pos="4536"/>
        <w:tab w:val="right" w:pos="9046"/>
      </w:tabs>
      <w:jc w:val="right"/>
      <w:rPr/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3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b w:val="0"/>
        <w:i w:val="0"/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mo" w:cs="Arimo" w:eastAsia="Arimo" w:hAnsi="Arimo"/>
        <w:b w:val="0"/>
        <w:i w:val="0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7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6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7">
    <w:lvl w:ilvl="0">
      <w:start w:val="1"/>
      <w:numFmt w:val="decimal"/>
      <w:lvlText w:val="%1."/>
      <w:lvlJc w:val="left"/>
      <w:pPr>
        <w:ind w:left="28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0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724" w:hanging="21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44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16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884" w:hanging="219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0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324" w:hanging="284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044" w:hanging="219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8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9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10">
    <w:lvl w:ilvl="0">
      <w:start w:val="1"/>
      <w:numFmt w:val="decimal"/>
      <w:lvlText w:val="%1."/>
      <w:lvlJc w:val="left"/>
      <w:pPr>
        <w:ind w:left="36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95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95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95"/>
      </w:pPr>
      <w:rPr>
        <w:i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11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z w:val="24"/>
        <w:szCs w:val="24"/>
        <w:shd w:fill="auto" w:val="clear"/>
        <w:vertAlign w:val="baseline"/>
      </w:rPr>
    </w:lvl>
  </w:abstractNum>
  <w:abstractNum w:abstractNumId="12">
    <w:lvl w:ilvl="0">
      <w:start w:val="1"/>
      <w:numFmt w:val="decimal"/>
      <w:lvlText w:val="%1."/>
      <w:lvlJc w:val="left"/>
      <w:pPr>
        <w:ind w:left="36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180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396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mallCaps w:val="0"/>
        <w:strike w:val="0"/>
        <w:sz w:val="24"/>
        <w:szCs w:val="24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120" w:hanging="295"/>
      </w:pPr>
      <w:rPr>
        <w:smallCaps w:val="0"/>
        <w:strike w:val="0"/>
        <w:sz w:val="24"/>
        <w:szCs w:val="24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A" w:customStyle="1">
    <w:name w:val="Body A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Bezodstpw">
    <w:name w:val="No Spacing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TableStyle2A" w:customStyle="1">
    <w:name w:val="Table Style 2 A"/>
    <w:rPr>
      <w:rFonts w:ascii="Helvetica Neue" w:cs="Arial Unicode MS" w:hAnsi="Helvetica Neue"/>
      <w:color w:val="000000"/>
      <w:u w:color="ffffff"/>
      <w:lang w:val="en-US"/>
    </w:rPr>
  </w:style>
  <w:style w:type="paragraph" w:styleId="Body" w:customStyle="1">
    <w:name w:val="Body"/>
    <w:rPr>
      <w:rFonts w:cs="Arial Unicode MS"/>
      <w:color w:val="000000"/>
      <w:sz w:val="24"/>
      <w:szCs w:val="24"/>
      <w:u w:color="000000"/>
    </w:rPr>
  </w:style>
  <w:style w:type="numbering" w:styleId="ImportedStyle4" w:customStyle="1">
    <w:name w:val="Imported Style 4"/>
    <w:pPr>
      <w:numPr>
        <w:numId w:val="11"/>
      </w:numPr>
    </w:pPr>
  </w:style>
  <w:style w:type="paragraph" w:styleId="Stopka">
    <w:name w:val="footer"/>
    <w:basedOn w:val="Normalny"/>
    <w:link w:val="StopkaZnak"/>
    <w:uiPriority w:val="99"/>
    <w:unhideWhenUsed w:val="1"/>
    <w:rsid w:val="001E3900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1E3900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5Of85uVBiiHMSFdWyUYumHT9xg==">AMUW2mUCrPnnATq9ry8aMe20nTFMdOLFq9/5x9/OW82As6KZgejB3dmJlbV74oE7NPmXFR6DuZ8SFbutqe17VcyTPRiKTPGSPC00s9Q+A4qK0GRf5tDk47+oxwAX+zL3Tm98L9aJYGII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2021-09-17T08:07:00Z</dcterms:created>
</cp:coreProperties>
</file>