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2021/22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5"/>
        <w:gridCol w:w="4517"/>
        <w:tblGridChange w:id="0">
          <w:tblGrid>
            <w:gridCol w:w="4545"/>
            <w:gridCol w:w="451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Teksty kultury brytyjskiej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Texts of British Culture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Nauki o kulturze i religii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8"/>
        <w:gridCol w:w="4514"/>
        <w:tblGridChange w:id="0">
          <w:tblGrid>
            <w:gridCol w:w="4548"/>
            <w:gridCol w:w="451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Anna Antonowicz</w:t>
            </w:r>
          </w:p>
        </w:tc>
      </w:tr>
    </w:tbl>
    <w:p w:rsidR="00000000" w:rsidDel="00000000" w:rsidP="00000000" w:rsidRDefault="00000000" w:rsidRPr="00000000" w14:paraId="00000015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85"/>
        <w:gridCol w:w="2258"/>
        <w:gridCol w:w="2261"/>
        <w:gridCol w:w="2258"/>
        <w:tblGridChange w:id="0">
          <w:tblGrid>
            <w:gridCol w:w="2285"/>
            <w:gridCol w:w="2258"/>
            <w:gridCol w:w="2261"/>
            <w:gridCol w:w="225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spacing w:after="0" w:line="240" w:lineRule="auto"/>
        <w:ind w:left="216" w:hanging="216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16"/>
        <w:gridCol w:w="6846"/>
        <w:tblGridChange w:id="0">
          <w:tblGrid>
            <w:gridCol w:w="2216"/>
            <w:gridCol w:w="684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języka angielskiego przynajmniej B2+</w:t>
            </w:r>
          </w:p>
        </w:tc>
      </w:tr>
    </w:tbl>
    <w:p w:rsidR="00000000" w:rsidDel="00000000" w:rsidP="00000000" w:rsidRDefault="00000000" w:rsidRPr="00000000" w14:paraId="00000051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ele kształcenia dla przedmiotu </w:t>
      </w:r>
    </w:p>
    <w:tbl>
      <w:tblPr>
        <w:tblStyle w:val="Table5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8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C1 rozwinięcie i poszerzenie wiedzy na temat zjawisk i zagadnień kulturowych Wielkiej Brytanii na podstawie ich reprezentacji w autentycznych tekstach kulturowych z XIX, XX i XXI wieku.</w:t>
            </w:r>
          </w:p>
        </w:tc>
      </w:tr>
      <w:tr>
        <w:trPr>
          <w:cantSplit w:val="0"/>
          <w:trHeight w:val="8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C2 zestawienie współczesnej i historyczną perspektywy na przemiany kulturowe odnośnie takich pojęć i zjawisk jak płeć, rodzina, dziecko, normy społeczne, ułomność, subkulturowość, protest społeczny i inne.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C3 poznanie podstawowego aparatu poznawczego z dziedziny kulturoznawstwa</w:t>
            </w:r>
          </w:p>
        </w:tc>
      </w:tr>
    </w:tbl>
    <w:p w:rsidR="00000000" w:rsidDel="00000000" w:rsidP="00000000" w:rsidRDefault="00000000" w:rsidRPr="00000000" w14:paraId="00000057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188" w:right="0" w:hanging="828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5"/>
        <w:gridCol w:w="5829"/>
        <w:gridCol w:w="2138"/>
        <w:tblGridChange w:id="0">
          <w:tblGrid>
            <w:gridCol w:w="1095"/>
            <w:gridCol w:w="5829"/>
            <w:gridCol w:w="2138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rozpoznaje i charakteryzuje kategorie i zagadnienia analizy tekstowej w ramach kulturoznawstwa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K_W02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wskazuje odpowiednie zagadnienia analizy tekstowej potrzebne do badania danego tekstu kultury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K_W04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identyfikuje zjawiska kulturowe na podstawie dawnych i współczesnych testów kultury przez pryzmat analizy tekstowej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K_W05, K_W07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wybiera właściwe kategorie analizy tekstowej potrzebne do zbadania danego tekstu kultury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K_U01</w:t>
            </w:r>
          </w:p>
        </w:tc>
      </w:tr>
      <w:tr>
        <w:trPr>
          <w:cantSplit w:val="0"/>
          <w:trHeight w:val="10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łączy różne kategorie analizy tekstowej potrzebne do interpretacji danego tekstu kultury w odniesieniu do zdobytej wiedzy na temat kontekstu kulturowo-historycznego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K_U07, K_U09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zachowuje otwartość wobec testów kultury brytyjskich z różnych okresów historycznych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K_K04</w:t>
            </w:r>
          </w:p>
        </w:tc>
      </w:tr>
    </w:tbl>
    <w:p w:rsidR="00000000" w:rsidDel="00000000" w:rsidP="00000000" w:rsidRDefault="00000000" w:rsidRPr="00000000" w14:paraId="00000077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45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numPr>
                <w:ilvl w:val="0"/>
                <w:numId w:val="5"/>
              </w:numPr>
              <w:spacing w:after="120" w:line="240" w:lineRule="auto"/>
              <w:ind w:left="644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Wprowadzenie kursu: zakres tematyczny, wskazanie źródeł, metod pracy, zasad zaliczania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5"/>
              </w:numPr>
              <w:spacing w:after="120" w:line="240" w:lineRule="auto"/>
              <w:ind w:left="644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 to jest tekst kulturowy i analiza tekstowa? 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5"/>
              </w:numPr>
              <w:spacing w:after="120" w:line="240" w:lineRule="auto"/>
              <w:ind w:left="644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Stereotypy i hierarchie klasowych w komediowych sitcomach: „Fawlty Towers”, „Keeping up Appearances”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5"/>
              </w:numPr>
              <w:spacing w:after="120" w:line="240" w:lineRule="auto"/>
              <w:ind w:left="644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Rodzina królewska i test na royalsa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5"/>
              </w:numPr>
              <w:spacing w:after="120" w:line="240" w:lineRule="auto"/>
              <w:ind w:left="644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Norma/anomalia a kulturowe stereotypy ułomności w filmie: “The Elephant Man” and “King’s Speech”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5"/>
              </w:numPr>
              <w:spacing w:after="120" w:line="240" w:lineRule="auto"/>
              <w:ind w:left="644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James Bond i jego kobiety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5"/>
              </w:numPr>
              <w:spacing w:after="120" w:line="240" w:lineRule="auto"/>
              <w:ind w:left="644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Nowoczesna rodzina w wybranych sitcomach brytyjskich</w:t>
            </w:r>
          </w:p>
          <w:p w:rsidR="00000000" w:rsidDel="00000000" w:rsidP="00000000" w:rsidRDefault="00000000" w:rsidRPr="00000000" w14:paraId="00000081">
            <w:pPr>
              <w:numPr>
                <w:ilvl w:val="0"/>
                <w:numId w:val="5"/>
              </w:numPr>
              <w:spacing w:after="120" w:line="240" w:lineRule="auto"/>
              <w:ind w:left="644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Dziecko i dzieciństwo w reklamie społecznej i komercyjnej </w:t>
            </w:r>
          </w:p>
          <w:p w:rsidR="00000000" w:rsidDel="00000000" w:rsidP="00000000" w:rsidRDefault="00000000" w:rsidRPr="00000000" w14:paraId="00000082">
            <w:pPr>
              <w:numPr>
                <w:ilvl w:val="0"/>
                <w:numId w:val="5"/>
              </w:numPr>
              <w:spacing w:after="120" w:line="240" w:lineRule="auto"/>
              <w:ind w:left="644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Bunt w modzie i muzyce– style subkulturowe: Hippisi i Punki</w:t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5"/>
              </w:numPr>
              <w:spacing w:after="120" w:line="240" w:lineRule="auto"/>
              <w:ind w:left="644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Kultura klubowa + film “Human traffic”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5"/>
              </w:numPr>
              <w:spacing w:after="120" w:line="240" w:lineRule="auto"/>
              <w:ind w:left="644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Prezentacje semestralne studentów</w:t>
            </w:r>
          </w:p>
        </w:tc>
      </w:tr>
    </w:tbl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20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80"/>
        </w:tabs>
        <w:spacing w:after="20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8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4"/>
        <w:gridCol w:w="2646"/>
        <w:gridCol w:w="2778"/>
        <w:gridCol w:w="2544"/>
        <w:tblGridChange w:id="0">
          <w:tblGrid>
            <w:gridCol w:w="1094"/>
            <w:gridCol w:w="2646"/>
            <w:gridCol w:w="2778"/>
            <w:gridCol w:w="2544"/>
          </w:tblGrid>
        </w:tblGridChange>
      </w:tblGrid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</w:p>
        </w:tc>
      </w:tr>
      <w:tr>
        <w:trPr>
          <w:cantSplit w:val="0"/>
          <w:trHeight w:val="1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konwersatoryjny</w:t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Wyjaśnienie poszczególnych zagadnień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</w:t>
            </w:r>
          </w:p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prezentacji/protokół</w:t>
            </w:r>
          </w:p>
        </w:tc>
      </w:tr>
      <w:tr>
        <w:trPr>
          <w:cantSplit w:val="0"/>
          <w:trHeight w:val="14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Burza mózgów</w:t>
            </w:r>
          </w:p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konwersatoryjny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i prowadzącego</w:t>
            </w:r>
          </w:p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</w:p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prezentacji/protokół</w:t>
            </w:r>
          </w:p>
        </w:tc>
      </w:tr>
      <w:tr>
        <w:trPr>
          <w:cantSplit w:val="0"/>
          <w:trHeight w:val="14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i prowadzącego</w:t>
            </w:r>
          </w:p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</w:p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prezentacji/protokół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Burza mózgów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</w:t>
            </w:r>
          </w:p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</w:p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prezentacji/protokół</w:t>
            </w:r>
          </w:p>
        </w:tc>
      </w:tr>
      <w:tr>
        <w:trPr>
          <w:cantSplit w:val="0"/>
          <w:trHeight w:val="14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Analiza tekstu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i prowadzącego</w:t>
            </w:r>
          </w:p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prezentacja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</w:p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prezentacji/protokół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1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w parach</w:t>
            </w:r>
          </w:p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 i informacja zwrotna od grupy i prowadzącego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</w:p>
        </w:tc>
      </w:tr>
    </w:tbl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Frekwencja (10%) dopuszczalne 3 nieobecności</w:t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Przygotowanie do zajęć i aktywność + prace domowe (20%) - za aktywny udział w zajęciach student dostaje plusa: 7 i więcej plusów (ocena w górę), 2-6 plusy (ocena z prezentacji wyznacza ocenę końcową) 1 lub brak (ocena w dół)</w:t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numPr>
          <w:ilvl w:val="3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Praca semestralna (70%) – projekt grupowy w formie prezentacji Power Point sprawdzający umiejętność analizy 1 wybranego zagadnienia kulturowego na podstawie jego reprezentacji w 1 wybranym brytyjskim tekście kulturowym </w:t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38"/>
        <w:gridCol w:w="4524"/>
        <w:tblGridChange w:id="0">
          <w:tblGrid>
            <w:gridCol w:w="4538"/>
            <w:gridCol w:w="4524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0D3">
      <w:pPr>
        <w:spacing w:after="0"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16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D. McDowall,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Britain in Close Up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London: Longman, 1993</w:t>
            </w:r>
          </w:p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Filmy: seria Jamesa Bonda, Elephant Man, King’s Speech, Human Traffic</w:t>
            </w:r>
          </w:p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Sitcomy: „Fawlty Towers”, „Keeping up Appearances”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65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A">
            <w:pPr>
              <w:numPr>
                <w:ilvl w:val="0"/>
                <w:numId w:val="8"/>
              </w:numPr>
              <w:spacing w:after="120" w:line="240" w:lineRule="auto"/>
              <w:ind w:left="108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Meenakshi Gigi Durham, Douglas M. Kellner,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Media and Cultural Studies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Oxford: Blackwell Publishing, 2001</w:t>
            </w:r>
          </w:p>
          <w:p w:rsidR="00000000" w:rsidDel="00000000" w:rsidP="00000000" w:rsidRDefault="00000000" w:rsidRPr="00000000" w14:paraId="000000DB">
            <w:pPr>
              <w:numPr>
                <w:ilvl w:val="0"/>
                <w:numId w:val="8"/>
              </w:numPr>
              <w:ind w:left="108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D. Marley and K. Robins (eds),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British Cultural Studies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London, 1999.</w:t>
            </w:r>
          </w:p>
          <w:p w:rsidR="00000000" w:rsidDel="00000000" w:rsidP="00000000" w:rsidRDefault="00000000" w:rsidRPr="00000000" w14:paraId="000000DC">
            <w:pPr>
              <w:numPr>
                <w:ilvl w:val="0"/>
                <w:numId w:val="8"/>
              </w:numPr>
              <w:ind w:left="108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Hall, Dennis R., Hall, Susan Grove,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American Icons: An Encyclopedia of the People, Places, and Things That Have Shaped Our Culture,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Greenwood Press, Westport, CT 2006.</w:t>
            </w:r>
          </w:p>
          <w:p w:rsidR="00000000" w:rsidDel="00000000" w:rsidP="00000000" w:rsidRDefault="00000000" w:rsidRPr="00000000" w14:paraId="000000DD">
            <w:pPr>
              <w:numPr>
                <w:ilvl w:val="0"/>
                <w:numId w:val="8"/>
              </w:numPr>
              <w:ind w:left="108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David Hesmondhalgh, “the cultural Politics of Dance Music.”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Soundings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no. 5 Spring 1997.</w:t>
            </w:r>
          </w:p>
          <w:p w:rsidR="00000000" w:rsidDel="00000000" w:rsidP="00000000" w:rsidRDefault="00000000" w:rsidRPr="00000000" w14:paraId="000000DE">
            <w:pPr>
              <w:numPr>
                <w:ilvl w:val="0"/>
                <w:numId w:val="8"/>
              </w:numPr>
              <w:ind w:left="108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Sarah Thorton,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Club Cultures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1995.</w:t>
            </w:r>
          </w:p>
          <w:p w:rsidR="00000000" w:rsidDel="00000000" w:rsidP="00000000" w:rsidRDefault="00000000" w:rsidRPr="00000000" w14:paraId="000000DF">
            <w:pPr>
              <w:numPr>
                <w:ilvl w:val="0"/>
                <w:numId w:val="8"/>
              </w:numPr>
              <w:ind w:left="108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Brian L. Ott, “Mixed Messages: Resistence and Reappropriation in rave Culture,”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Western Journal of Communication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vol 63, no. 3, 2003.</w:t>
            </w:r>
          </w:p>
          <w:p w:rsidR="00000000" w:rsidDel="00000000" w:rsidP="00000000" w:rsidRDefault="00000000" w:rsidRPr="00000000" w14:paraId="000000E0">
            <w:pPr>
              <w:numPr>
                <w:ilvl w:val="0"/>
                <w:numId w:val="8"/>
              </w:numPr>
              <w:ind w:left="108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Julia Wood, “Gendered Media,” from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Gendered Lives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ch. 9.</w:t>
            </w:r>
          </w:p>
          <w:p w:rsidR="00000000" w:rsidDel="00000000" w:rsidP="00000000" w:rsidRDefault="00000000" w:rsidRPr="00000000" w14:paraId="000000E1">
            <w:pPr>
              <w:numPr>
                <w:ilvl w:val="0"/>
                <w:numId w:val="8"/>
              </w:numPr>
              <w:ind w:left="108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Pat Thane, “Childhood in History,” in M. King,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Childhood, Welfare and Justice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1981.</w:t>
            </w:r>
          </w:p>
          <w:p w:rsidR="00000000" w:rsidDel="00000000" w:rsidP="00000000" w:rsidRDefault="00000000" w:rsidRPr="00000000" w14:paraId="000000E2">
            <w:pPr>
              <w:numPr>
                <w:ilvl w:val="0"/>
                <w:numId w:val="8"/>
              </w:numPr>
              <w:ind w:left="108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Leaflet: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Disability in the Media.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numPr>
                <w:ilvl w:val="0"/>
                <w:numId w:val="8"/>
              </w:numPr>
              <w:ind w:left="108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NHS,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A Disability History Timeline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, 2013.</w:t>
            </w:r>
          </w:p>
          <w:p w:rsidR="00000000" w:rsidDel="00000000" w:rsidP="00000000" w:rsidRDefault="00000000" w:rsidRPr="00000000" w14:paraId="000000E4">
            <w:pPr>
              <w:numPr>
                <w:ilvl w:val="0"/>
                <w:numId w:val="8"/>
              </w:numPr>
              <w:ind w:left="1080" w:hanging="360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Hiroko Tomida, “The History and Development of the English Class System”.</w:t>
            </w:r>
          </w:p>
        </w:tc>
      </w:tr>
    </w:tbl>
    <w:p w:rsidR="00000000" w:rsidDel="00000000" w:rsidP="00000000" w:rsidRDefault="00000000" w:rsidRPr="00000000" w14:paraId="000000E5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6">
    <w:pPr>
      <w:jc w:val="right"/>
      <w:rPr>
        <w:rFonts w:ascii="Times New Roman" w:cs="Times New Roman" w:eastAsia="Times New Roman" w:hAnsi="Times New Roman"/>
        <w:i w:val="1"/>
      </w:rPr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Załącznik nr. 5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1"/>
      <w:numFmt w:val="upperRoman"/>
      <w:lvlText w:val="%1."/>
      <w:lvlJc w:val="left"/>
      <w:pPr>
        <w:ind w:left="1188" w:hanging="828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548" w:hanging="467.9999999999998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268" w:hanging="416.9999999999998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988" w:hanging="468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708" w:hanging="468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428" w:hanging="417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148" w:hanging="468.0000000000009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868" w:hanging="468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588" w:hanging="417.0000000000009"/>
      </w:pPr>
      <w:rPr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1"/>
      <w:numFmt w:val="decimal"/>
      <w:lvlText w:val="%1."/>
      <w:lvlJc w:val="left"/>
      <w:pPr>
        <w:ind w:left="644" w:hanging="359.99999999999994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084" w:hanging="295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244" w:hanging="295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04" w:hanging="295"/>
      </w:pPr>
      <w:rPr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1"/>
      <w:numFmt w:val="decimal"/>
      <w:lvlText w:val="%1."/>
      <w:lvlJc w:val="left"/>
      <w:pPr>
        <w:ind w:left="1080" w:hanging="360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520" w:hanging="295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80" w:hanging="295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840" w:hanging="295"/>
      </w:pPr>
      <w:rPr>
        <w:smallCaps w:val="0"/>
        <w:strike w:val="0"/>
        <w:shd w:fill="auto" w:val="clear"/>
        <w:vertAlign w:val="baseline"/>
      </w:rPr>
    </w:lvl>
  </w:abstractNum>
  <w:abstractNum w:abstractNumId="9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6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TableStyle2A" w:customStyle="1">
    <w:name w:val="Table Style 2 A"/>
    <w:pPr>
      <w:spacing w:after="200" w:line="276" w:lineRule="auto"/>
    </w:pPr>
    <w:rPr>
      <w:rFonts w:ascii="Helvetica Neue" w:cs="Arial Unicode MS" w:hAnsi="Helvetica Neue"/>
      <w:color w:val="000000"/>
      <w:u w:color="000000"/>
    </w:rPr>
  </w:style>
  <w:style w:type="paragraph" w:styleId="Stopka">
    <w:name w:val="footer"/>
    <w:basedOn w:val="Normalny"/>
    <w:link w:val="StopkaZnak"/>
    <w:uiPriority w:val="99"/>
    <w:unhideWhenUsed w:val="1"/>
    <w:rsid w:val="0050065C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50065C"/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SXYQdbWGHAyC5nuCCP/MIMoafA==">AMUW2mUCpn331gsbRsm4iAqFBGPqqYPJBHf6zkrGqb51n6VfWLR2nptbUAX8YZQmEiC5E324/sOixiut9YGvF0+Y0y0KNtHvmpNPlyZNv6e8cAKYRESVn+KmTusQlb6khVoGTk3HR8rQ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2021-09-17T05:59:00Z</dcterms:created>
</cp:coreProperties>
</file>