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Komunikacja i interpretacja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Communication and interpretation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A. Antonowicz</w:t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713"/>
                <w:tab w:val="center" w:pos="104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znajomość języka angielskiego na poziomie B2+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ogólna znajomość historii, literatury i kultury brytyjskiej i amerykańskiej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C1 Poznanie mechanizmów i kontrowersji związanych z komunikacja i interpretacją znaków i tekstów dawnej i współczesnej kultury wizualnej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C2 Poznanie i zrozumienie podstawowych mechanizmów funkcjonowania języka znaków kultury wizualnej w metodzie semiotycznej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C3 Zrozumienie wpływu użytych kategorii semiotycznych na interpretacje tekstów kultury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Rozpoznaje i charakteryzuje kategorie i zagadnienia teorii semiotycznej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Wskazuje odpowiednie kategorie semiotyczne potrzebne do analizy danego tekstu kultury wizualnej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Identyfikuje zjawiska kulturowe na podstawie dawnych i współczesnych testów kultury przez pryzmat analizy semiotycznej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Wybiera kategorie semiotyczne potrzebne do analizy semiotycznej danego tekstu kultury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Łączy różne kategorie semiotyczne potrzebne do interpretacji tekstu kultury wizualnej w odniesieniu do zdobytej wiedzy na temat kontekstu kulturowo-historycznego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K_U07, K_U09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Zachowuje otwartość wobec badanych tekstów kultury pochodzących z innych tradycji i kultur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obrazy tworzą światy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kultura wizualna opowiada o realu - rodzaje znaków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 nadawcy do odbiory i co się dzieje po drodze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Kiedy mówi jedno a myśli drugie: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ironia, kłamstwo, niemożliwość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Kiedy obraz przedstawia, a kiedy reprezentuje?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Wyjdźmy poza obraz i pofilozofujmy: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prawda/fałsz, podobieństwo/różnica, całość/fragment, subiektywność/obiektywność, wrażenia/rzeczywistość, ciągłość/brak ciągłości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Struktury wizualne: dlaczego to jest tu, a nie gdzie indziej?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(gdzie jest widz, góra/dół, prawo/lewo, centrum/margines, pierwszy plan/tło)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Struktury wizualne: dlaczego to tak wygląda? (kolor, kontrast, ostrość, faktura)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kultura wizualna przedstawia czas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2" w:right="0" w:hanging="43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Prezentacje studentów</w:t>
            </w:r>
          </w:p>
        </w:tc>
      </w:tr>
    </w:tbl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 i informacja zwrotna od grupy i prowadzącego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Sprawdzenie umiejętności praktycznych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Karta oceny prezentacji/protokół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Odpowiedź ustna i informacja zwrotna od grupy i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Frekwencja (10%) dopuszczalne 3 nieobecności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Aktywność (20%) (za aktywny udział w zajęciach student dostaje plusa: 7 i więcej plusów (ocena w górę), 2-6 plusy (ocena z prezentacji wyznacza ocenę końcową) 1 lub brak (pół oceny w dół)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3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4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 semestralna (70%) – projekt grupowy w formie prezentacji Power Point sprawdzający umiejętność selekcji tekstu do analizy, postawienia tezy oraz wskazanie przynajmniej 3 elementów i narzędzi semiotycznych potrzebnych do udowodnienia tezy i analizy tekstu, umiejętność analizy wybranego tekstu przy użyciu teorii semiotycznej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D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John Fiske, Introduction to Communication Studies, London: Routledge.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Sean Hall, This Means This, This Means That: A User's Guide to Semiotics, London: Laurence King Publishing Ltd., 2012.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wybór reklam, obrazów, fragmentów filmów, zdjęć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Richard Ellis and Ann McClintock, If you take my meaning: Theory into Practice in Human Communication, London: Hodder &amp; Stoughton</w:t>
              <w:br w:type="textWrapping"/>
              <w:t xml:space="preserve">2. Fran Martin, Interpreting Everyday Culture, London: Bloombury Publishing</w:t>
            </w:r>
          </w:p>
        </w:tc>
      </w:tr>
    </w:tbl>
    <w:p w:rsidR="00000000" w:rsidDel="00000000" w:rsidP="00000000" w:rsidRDefault="00000000" w:rsidRPr="00000000" w14:paraId="000000DC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313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313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313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152" w:hanging="432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72" w:hanging="432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83" w:hanging="376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312" w:hanging="432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032" w:hanging="432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743" w:hanging="376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72" w:hanging="431.9999999999991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92" w:hanging="432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903" w:hanging="376.0000000000009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9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643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67" w:hanging="327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2" w:hanging="281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07" w:hanging="327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27" w:hanging="327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2" w:hanging="281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E945C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945C0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enOuR41K2l6RCSQw77UKGnt+6A==">AMUW2mX8+lQoP48RgpT06/9z4RHaRBhcp53YlOLpRWtw1AD21WVW7YhGxx0EWrQwa82sgEcNoj6xgNKDGH0kde3AkJXPHfrWdkVMs+1eSNBjeoCnYCUuOISmO71gXuKjSv8SykCaE/Bn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2021-09-17T06:08:00Z</dcterms:created>
</cp:coreProperties>
</file>