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 2020/21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356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78"/>
        <w:gridCol w:w="4678"/>
        <w:tblGridChange w:id="0">
          <w:tblGrid>
            <w:gridCol w:w="4678"/>
            <w:gridCol w:w="4678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 stosowane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Applied linguistics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78"/>
        <w:gridCol w:w="4678"/>
        <w:tblGridChange w:id="0">
          <w:tblGrid>
            <w:gridCol w:w="4678"/>
            <w:gridCol w:w="4678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Karolina Drabikowska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39"/>
        <w:gridCol w:w="2339"/>
        <w:gridCol w:w="2339"/>
        <w:gridCol w:w="2339"/>
        <w:tblGridChange w:id="0">
          <w:tblGrid>
            <w:gridCol w:w="2339"/>
            <w:gridCol w:w="2339"/>
            <w:gridCol w:w="2339"/>
            <w:gridCol w:w="2339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V,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68"/>
        <w:gridCol w:w="7088"/>
        <w:tblGridChange w:id="0">
          <w:tblGrid>
            <w:gridCol w:w="2268"/>
            <w:gridCol w:w="7088"/>
          </w:tblGrid>
        </w:tblGridChange>
      </w:tblGrid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W1 Poziom znajomości języka angielskiego co najmniej B2+.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W2 Znajomość podstawowych pojęć z zakresu językoznawstwa wprowadzonych na kursach Wstęp do językoznawstwa i Gramatyka opisowa języka angielskiego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356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61"/>
        <w:gridCol w:w="8695"/>
        <w:tblGridChange w:id="0">
          <w:tblGrid>
            <w:gridCol w:w="661"/>
            <w:gridCol w:w="8695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Napisanie pracy dyplomowej w obrębie tematyki seminarium.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Usystematyzowanie i uporządkowanie oraz poszerzenie i ugruntowanie wiedzy związanej terminologią i metodami badań typowymi dla językoznawstwa stosowanego.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Znajomość zasad działania podstawowych instrumentów służących do analizy językowej zebranego materiału oraz umiejętność stosowania ich w przygotowaniu pracy dyplomowej.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Umiejętność przeprowadzania własnych badań i analiz.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356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51"/>
        <w:gridCol w:w="6379"/>
        <w:gridCol w:w="2126"/>
        <w:tblGridChange w:id="0">
          <w:tblGrid>
            <w:gridCol w:w="851"/>
            <w:gridCol w:w="6379"/>
            <w:gridCol w:w="2126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zestawia podstawowe teorie, kierunki i nurty badań językoznawczych w ujęciu synchronicznym i diachronicznym zgodnie z tematem pracy dyplomowej.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metody analizy i interpretacji właściwe dla językoznawstwa stosowanego.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7c954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rozróżnia dozwolone i niedozwolone sposoby stosowania źródeł i konstruowania pracy dyplomowej w kontekście prawa autorskiego i poszanowania własności intelektualnej.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projektuje swoją pracę badawczą z użyciem odpowiednich źródeł, metod i narzędzi właściwych dla językoznawstwa stosowanego.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K_U01, K_U02, K_U08,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interpretuje dane zgromadzone w ramach przygotowania pracy dyplomowej z użyciem odpowiednich metod analizy i interpretacji właściwych dla językoznawstwa stosowanego.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K_U01, 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prawidłowo cytuje rzetelne źródła niezbędne do napisania pracy dyplomowej, zarówno te zaproponowane przez prowadzącego jak i samodzielnie wyselekcjonowane dla poszerzenia swojej wiedzy specjalistycznej.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K_U01, K_U07,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prezentuje dotychczasowe dokonania w ramach wybranego zagadnienia, a także swoje stanowisko i wyniki badań w formie pracy dyplomowej o odpowiednim akademickim rejestrze.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K_U07, K_U04, 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poddaje krytycznej ocenie własną wiedzę i umiejętności w kontekście konieczności dalszego rozwoju naukowego i zawodowego.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ascii="Helvetica Neue" w:cs="Helvetica Neue" w:eastAsia="Helvetica Neue" w:hAnsi="Helvetica Neue"/>
                <w:color w:val="7c954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jest otwarty na sugestie ze strony prowadzącego oraz instrukcje metodologiczne zawarte w literaturze specjalistycznej pomagające w prawidłowym sporządzeniu pracy dyplomowej.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postępuje zgodnie z przyjętymi normami etycznymi, głównie w kontekście jakości i rzetelności swojej pracy.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dostrzega pozycję i rolę języka angielskiego na świecie.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356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Wprowadzenie do kursu i organizacja pracy. Podstawowe zagadnienia związane z koncepcją pracy licencjackiej, m.in. wybór przedmiotu badań, formułowanie problemu badawczego, dobór metod badawczych, sposób prowadzenia badań. Poszukiwanie literatury przedmiotowej, selekcjonowanie informacji. Formalny aspekt pisania pracy i jej struktura (redakcja tekstu naukowego). Specyfika badań z zakresu językoznawstwa stosowanego. Zasady konstruowania bibliografii, przypisów i technicznej strony przygotowania pracy. Praca nad indywidualnym postępem w pisaniu pracy: dobór narzędzi teoretycznych, gromadzenie danych, analiza, wnioski.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371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51"/>
        <w:gridCol w:w="4140"/>
        <w:gridCol w:w="2100"/>
        <w:gridCol w:w="2280"/>
        <w:tblGridChange w:id="0">
          <w:tblGrid>
            <w:gridCol w:w="851"/>
            <w:gridCol w:w="4140"/>
            <w:gridCol w:w="2100"/>
            <w:gridCol w:w="228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praca z tekstem, praca badawcza pod kierunkiem (praca seminaryjna), studium przypadku,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raca licencjacka,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praca z tekstem, praca badawcza pod kierunkiem (praca seminaryjna), studium przypadku,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praca z tekstem, praca badawcza pod kierunkiem (praca seminaryjna), studium przypadku,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dyskusja, burza mózgów/giełda pomysłów, ćwiczenia praktyczne, metoda projektu, praca badawcza pod kierunkiem, studium przypadku,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praktyczne, studium przypadku, praca badawcza pod kierunkiem,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ćwiczenia praktyczne, metoda projektu, praca badawcza pod kierunkiem,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dyskusja, burza mózgów/giełda pomysłów, ćwiczenia praktyczne, metoda projektu, praca badawcza pod kierunkiem, 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metoda projektu,  praca w grupach w różnych rolach (lidera, sprawozdawcy, uczestnika),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praca badawcza pod kierunkiem, tutoring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badawcza pod kierunkiem,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metoda projektu, praca badawcza pod kierunkiem,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licencjacka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Warunkiem uzyskania zaliczenia (bez oceny) w pierwszym semestrze jest obecność i praca na zajęciach, udział w dyskusjach, wybór i prezentacja tematu pracy, opracowanie planu pracy, zgromadzenie literatury i zaawansowane prace nad rozdziałem 1. W drugim semestrze warunkiem zaliczenia przedmiotu jest napisanie pracy licencjackiej pod kierunkiem prowadzącego.</w:t>
      </w:r>
    </w:p>
    <w:p w:rsidR="00000000" w:rsidDel="00000000" w:rsidP="00000000" w:rsidRDefault="00000000" w:rsidRPr="00000000" w14:paraId="000000CE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Obciążenie pracą studenta</w:t>
      </w:r>
    </w:p>
    <w:tbl>
      <w:tblPr>
        <w:tblStyle w:val="Table9"/>
        <w:tblW w:w="9356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78"/>
        <w:gridCol w:w="4678"/>
        <w:tblGridChange w:id="0">
          <w:tblGrid>
            <w:gridCol w:w="4678"/>
            <w:gridCol w:w="4678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351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Zależna od wybranych tematów i zainteresowań językoznawczych studentów.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Matras, Y. (2009).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 Contact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Cambridge: Cambridge University Press.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Millar, R.M. and Trask, L. (2015).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Trask’s Historical 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3rd ed. London and New York: Routledge.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Thomason, S. G. (2001).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 Contact. An 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Wardhaugh, R. and Fuller, J. M. (2015).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Sociolinguistics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Chichester: Wiley Blackwell.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Weinreich, U. (1979).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Languages in Contact. Problems and Findings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The Hague: Mouton Publishers.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9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0" w:right="0" w:hanging="3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Blaxter, L., Hughes C., and M Tight. (2010).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Research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Buckingham: Open University Press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0" w:right="0" w:hanging="3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Krug M. and J. Schlüter (eds.) (2013).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Methods in Language Variation and Change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Litosseliti, L. (2010).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Methods in 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Continuum International Publishing Group.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McMahon, A. (1994).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Language Change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Cambridge: CUP.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Various editors.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Cambridge History of the English Language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(Vols. 1-6). Cambridge: Cambridge University Press. </w:t>
            </w:r>
          </w:p>
        </w:tc>
      </w:tr>
    </w:tbl>
    <w:p w:rsidR="00000000" w:rsidDel="00000000" w:rsidP="00000000" w:rsidRDefault="00000000" w:rsidRPr="00000000" w14:paraId="000000E3">
      <w:pPr>
        <w:keepNext w:val="1"/>
        <w:widowControl w:val="0"/>
        <w:spacing w:after="120" w:before="12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ezodstpw">
    <w:name w:val="No Spacing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</w:r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Ab36CLdUxUSk+4rIjPULMgYMSg==">AMUW2mXLEOnl7LVY52RIGt0lPlPbvqfL7ExF32ylpgITH47C+/f+GGGD7KdH9J/ub7LS/b+l3WHLsiRvHjOwWwVykyaM6UY6joHjdca/L/SdlqP/9GAXGlhDPEFocmlZLw0KtDroVpp2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2022-01-13T17:03:00Z</dcterms:created>
</cp:coreProperties>
</file>