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spacing w:after="200" w:line="276" w:lineRule="auto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Cykl kształcenia od roku akademickiego: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2020/21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606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360"/>
        <w:gridCol w:w="5246"/>
        <w:tblGridChange w:id="0">
          <w:tblGrid>
            <w:gridCol w:w="4360"/>
            <w:gridCol w:w="5246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Praktyczna nauka języka angielskiego – tłumaczenia z elementami gramatyki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Practical English – Translation and Grammar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56.0" w:type="dxa"/>
        <w:jc w:val="left"/>
        <w:tblInd w:w="38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10"/>
        <w:gridCol w:w="5246"/>
        <w:tblGridChange w:id="0">
          <w:tblGrid>
            <w:gridCol w:w="4410"/>
            <w:gridCol w:w="5246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 Anna Prażmowska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4" w:right="0" w:hanging="27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00"/>
        <w:gridCol w:w="2080"/>
        <w:gridCol w:w="2080"/>
        <w:gridCol w:w="3346"/>
        <w:tblGridChange w:id="0">
          <w:tblGrid>
            <w:gridCol w:w="2100"/>
            <w:gridCol w:w="2080"/>
            <w:gridCol w:w="2080"/>
            <w:gridCol w:w="3346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zajęć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4" w:right="0" w:hanging="32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06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093"/>
        <w:gridCol w:w="7513"/>
        <w:tblGridChange w:id="0">
          <w:tblGrid>
            <w:gridCol w:w="2093"/>
            <w:gridCol w:w="7513"/>
          </w:tblGrid>
        </w:tblGridChange>
      </w:tblGrid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1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9" w:right="0" w:hanging="2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znajomość języka angielskiego na poziomie nie niższym niż średnio zaawansowany</w:t>
            </w:r>
          </w:p>
          <w:p w:rsidR="00000000" w:rsidDel="00000000" w:rsidP="00000000" w:rsidRDefault="00000000" w:rsidRPr="00000000" w14:paraId="00000054">
            <w:pPr>
              <w:keepNext w:val="1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5" w:right="0" w:hanging="31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znajomość podstawowych terminów gramatycznych oraz umiejętność zastosowania wiedzy teoretycznej do praktycznej analizy zagadnień gramatycznych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4" w:right="0" w:hanging="32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" w:right="0" w:hanging="21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606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606"/>
        <w:tblGridChange w:id="0">
          <w:tblGrid>
            <w:gridCol w:w="9606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C1 – uzyskanie wiedzy na temat kluczowych zagadnień z zakresu tłumaczeń pisemnych oraz problematyki tłumaczenia tekstów użytkowych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C2 – utrwalenie i rozwijanie umiejętności rozpoznawania, interpretowania i stosowania angielskich struktur gramatycznych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C3 – nabycie i doskonalenie umiejętności wykorzystania kluczowych technik tłumaczeniowych i poprawnych struktur gramatycznych w tłumaczeniu tekstów użytkowych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080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9278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5"/>
        <w:gridCol w:w="6918"/>
        <w:gridCol w:w="1485"/>
        <w:tblGridChange w:id="0">
          <w:tblGrid>
            <w:gridCol w:w="875"/>
            <w:gridCol w:w="6918"/>
            <w:gridCol w:w="1485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identyfikuje struktury językowe specyficzne dla języka źródłowego i rozpoznaje konieczność ich przekształcenia celem dostosowania do struktur języka docelowego.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demonstruje świadomość znaczenia precyzji oraz poprawności logicznej i językowej w tłumaczeniach pisemnych oraz rozróżnia rejestry języka stosowane w tekstach użytkowych.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wyjaśnia podstawowe pojęcia dotyczące prawa autorskiego i własności intelektualnej w kontekście tłumaczeń tekstów użytkowych oraz znaczenie uwarunkowań ekonomicznych, prawnych i etycznych w branży tłumaczeniowej.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analizuje użytkowe teksty źródłowe w zakresie ich treści i języka oraz wykonuje ich tłumaczenia pisemne, wykorzystując optymalne techniki tłumaczeniowe, stosowne rejestry języka oraz struktury gramatyczne odpowiednie dla języka docelowego.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pracuje indywidualnie oraz w zespole przy realizacji tłumaczeń i wspólnym rozwiązywaniu problemów tłumaczeniowych, przyjmując różne role (np. koordynator, korektor) i organizując działania innych członków grupy.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samodzielnie poszerza swoje kompetencje w zakresie wiedzy i umiejętności praktycznych dotyczących poprawnego użycia angielskich struktur gramatycznych i tłumaczenia tekstów użytkowych, kierując się wskazówkami prowadzącego.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demonstruje świadomość znaczenia jakości i poziomu uzyskanego narzędzia w postaci wiedzy i praktycznych umiejętności językowych w zakresie tłumaczenia tekstów użytkowych dla jego/jej roli w środowisku zawodowym w branży tłumaczeniowej.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wyciąga wnioski dotyczące funkcji i znaczenia precyzyjnych i językowo poprawnych tłumaczeń tekstów anglojęzycznych jako istotnych nośników kultury europejskiej i światowej.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 / treści programowe</w:t>
      </w:r>
    </w:p>
    <w:tbl>
      <w:tblPr>
        <w:tblStyle w:val="Table7"/>
        <w:tblW w:w="927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272"/>
        <w:tblGridChange w:id="0">
          <w:tblGrid>
            <w:gridCol w:w="9272"/>
          </w:tblGrid>
        </w:tblGridChange>
      </w:tblGrid>
      <w:tr>
        <w:trPr>
          <w:cantSplit w:val="0"/>
          <w:trHeight w:val="33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Kurs dotyczy praktycznych aspektów tłumaczenia tekstów użytkowych w parze językowej angielski–polski, ze szczególnym naciskiem na zagadnienia gramatyczne. Podczas zajęć poruszane są następujące tematy: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wybrane struktury gramatyczne języka angielskiego, ich rozpoznawanie i interpretowanie w tekstach źródłowych i prawidłowe stosowanie, m.in. w tłumaczeniach;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kluczowe różnice między językiem angielskim i polskim w zakresie gramatyki (m.in. czasy, szyk zdania,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przyimki a przypadki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formy dokonane i niedokonane, imiesłowy itd.) oraz wynikające z nich typowe błędy tłumaczeniowe;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8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tłumaczenie różnorodnych tekstów użytkowych, w tym analiza treści i języka tekstu źródłowego, tworzenie dwujęzycznych baz terminów, korekta tłumaczeń maszynowych;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8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praktyczne aspekty pracy tłumacza pisemnego (m.in. procedura tłumaczenia tekstów użytkowych, narzędzia używane w pracy tłumacza, podstawowe zasady świadczenia usług tłumaczeniowych i funkcjonowania branży tłumaczeniowej).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40" w:lineRule="auto"/>
        <w:ind w:left="501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</w:t>
      </w:r>
    </w:p>
    <w:tbl>
      <w:tblPr>
        <w:tblStyle w:val="Table8"/>
        <w:tblW w:w="9278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5"/>
        <w:gridCol w:w="2800"/>
        <w:gridCol w:w="2800"/>
        <w:gridCol w:w="2803"/>
        <w:tblGridChange w:id="0">
          <w:tblGrid>
            <w:gridCol w:w="875"/>
            <w:gridCol w:w="2800"/>
            <w:gridCol w:w="2800"/>
            <w:gridCol w:w="2803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dydaktyczne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weryfikacji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Sposoby dokumentacji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Miniwykład wprowadzający / Wyjaśnienie poszczególnych zagadnień; Praca z 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Kolokwium / Test / Sprawdzian pisemny; 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Uzupełnione i ocenione kolokwium / test / sprawdzian pisemny; Oceniony tekst pracy 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 tekstem;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Kolokwium / Test / Sprawdzian pisemny; 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Uzupełnione i ocenione kolokwium / test / sprawdzian pisemny; Oceniony tekst pracy 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Miniwykład wprowadzający / Wyjaśnienie poszczególnych zagadnień;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Kolokwium / Test / Sprawdzian pisemny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Uzupełnione i ocenione kolokwium / test / sprawdzian pisemny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tekstu; Ćwiczenia praktyczne; Praca indywidualna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 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tekstu; Burza mózgów/giełda pomysłów; Praca zespołowa; Studium przypadku (case study)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Monitorowanie i informacja zwrotna od grupy lub prowadzącego; 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arkuszu ocen; Oceniony tekst pracy 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tekstu; Ćwiczenia praktyczne; Praca indywidualna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Kolokwium / Test / Sprawdzian pisemny; 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Uzupełnione i ocenione kolokwium / test / sprawdzian pisemny; Oceniony tekst pracy 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Monitorowanie i informacja zwrotna od grupy lub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arkuszu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w grupach;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Monitorowanie i informacja zwrotna od grupy lub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arkuszu ocen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40" w:lineRule="auto"/>
        <w:ind w:left="50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1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77" w:right="0" w:hanging="107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ocenę końcową składają się wyniki testów, prac domowych na platformie Moodle i prac pisemnych (tłumaczeń) sprawdzających wiedzę i umiejętności praktyczne zdobyte podczas zajęć. Warunkiem otrzymania zaliczenia kursu jest (i) </w:t>
      </w:r>
      <w:r w:rsidDel="00000000" w:rsidR="00000000" w:rsidRPr="00000000">
        <w:rPr>
          <w:sz w:val="22"/>
          <w:szCs w:val="22"/>
          <w:rtl w:val="0"/>
        </w:rPr>
        <w:t xml:space="preserve">obecność na zajęciach w wymaganym wymiarze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oraz (ii) uzyskanie co najmniej 60% maksymalnej liczby punktów ze wszystkich testów, prac domowych i prac pisemnych. Ocena końcowa uwzględnia również aktywny udział studentów w dyskusjach podczas zajęć.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Studenci oceniani są według następującej skali: 100-93% – ocena 5; 92-85% – ocena 4,5; 84-77% – ocena 4; 76-69% – ocena 3,5; 68-60% – ocena 3; 59-0% – ocena 2.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9"/>
        <w:tblW w:w="8700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360"/>
        <w:gridCol w:w="4340"/>
        <w:tblGridChange w:id="0">
          <w:tblGrid>
            <w:gridCol w:w="4360"/>
            <w:gridCol w:w="4340"/>
          </w:tblGrid>
        </w:tblGridChange>
      </w:tblGrid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108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10"/>
        <w:tblW w:w="8705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05"/>
        <w:tblGridChange w:id="0">
          <w:tblGrid>
            <w:gridCol w:w="8705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podstawowa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659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579" w:right="0" w:hanging="28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Belczyk, A. 2014.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Poradnik tłumacza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Wydawnictwo Dla Szkoły.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579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Hewings, M. 2007.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Advanced Grammar in Use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CUP.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uzupełniająca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3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Filak, M. i F. Radej. 2013.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Angielski w tłumaczeniach. Gramatyka. Część 3, 4, 5, 6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Preston Publishing.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Macpherson, R. 2007.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English for Writers and Translators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Wydawnictwo Naukowe PWN.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Piotrowska, M. 2003.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Learning Translation – Learning the Impossible? A Course of Translation from English into Polish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Towarzystwo Autorów i Wydawców Prac Naukowych „Universitas”.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Robinson, D. 2007.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Becoming a Translator: An Introduction to the Theory and Practice of Translation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Routledge.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Thomson, A.J. i A.V. Martinet. 1988.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Practical English Grammar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OUP.</w:t>
            </w:r>
          </w:p>
          <w:p w:rsidR="00000000" w:rsidDel="00000000" w:rsidP="00000000" w:rsidRDefault="00000000" w:rsidRPr="00000000" w14:paraId="000000D2">
            <w:pPr>
              <w:widowControl w:val="0"/>
              <w:spacing w:after="120" w:before="120" w:line="276" w:lineRule="auto"/>
              <w:ind w:left="283.46456692913375" w:hanging="283.46456692913375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Side, R. i G. Wellman. 2000.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Grammar and Vocabulary for Cambridge Advanced and Proficiency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Longman.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Vince, M. 1994.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Advanced Language Practice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Macmillan Heinemann.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300" w:right="0" w:hanging="266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Yule, G. 2006.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Oxford Practice Grammar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OUP.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Anna Prażmowska" w:id="0" w:date="2023-07-13T21:57:24Z"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Czy nie powinno być 2022/23?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D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spacing w:after="200" w:line="276" w:lineRule="auto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i w:val="1"/>
        <w:sz w:val="22"/>
        <w:szCs w:val="22"/>
        <w:rtl w:val="0"/>
      </w:rPr>
      <w:t xml:space="preserve">Załącznik nr.5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5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7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790" w:hanging="251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1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3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50" w:hanging="251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7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395" w:hanging="310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10" w:hanging="251"/>
      </w:pPr>
      <w:rPr>
        <w:smallCaps w:val="0"/>
        <w:strike w:val="0"/>
        <w:sz w:val="24"/>
        <w:szCs w:val="24"/>
        <w:shd w:fill="auto" w:val="clear"/>
        <w:vertAlign w:val="baseline"/>
      </w:rPr>
    </w:lvl>
  </w:abstractNum>
  <w:abstractNum w:abstractNumId="2">
    <w:lvl w:ilvl="0">
      <w:start w:val="4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5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2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7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329" w:hanging="28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49" w:hanging="284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769" w:hanging="21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489" w:hanging="28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09" w:hanging="284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29" w:hanging="21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49" w:hanging="28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369" w:hanging="28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089" w:hanging="214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3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8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3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5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7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9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1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3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5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7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9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6"/>
      <w:numFmt w:val="upperRoman"/>
      <w:lvlText w:val="%1."/>
      <w:lvlJc w:val="left"/>
      <w:pPr>
        <w:ind w:left="1077" w:hanging="107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797" w:hanging="1077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17" w:hanging="1077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37" w:hanging="1077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57" w:hanging="1077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77" w:hanging="1077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397" w:hanging="1076.999999999999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17" w:hanging="1076.999999999999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37" w:hanging="1077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upperRoman"/>
      <w:lvlText w:val="%1."/>
      <w:lvlJc w:val="left"/>
      <w:pPr>
        <w:ind w:left="1080" w:hanging="108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800" w:hanging="108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2520" w:hanging="108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3240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960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680" w:hanging="108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5400" w:hanging="108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6120" w:hanging="108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840" w:hanging="1080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6"/>
      </w:numPr>
    </w:pPr>
  </w:style>
  <w:style w:type="numbering" w:styleId="Imported Style 3">
    <w:name w:val="Imported Style 3"/>
    <w:pPr>
      <w:numPr>
        <w:numId w:val="10"/>
      </w:numPr>
    </w:p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en-US"/>
    </w:rPr>
  </w:style>
  <w:style w:type="numbering" w:styleId="Imported Style 4">
    <w:name w:val="Imported Style 4"/>
    <w:pPr>
      <w:numPr>
        <w:numId w:val="14"/>
      </w:numPr>
    </w:pPr>
  </w:style>
  <w:style w:type="numbering" w:styleId="Imported Style 5">
    <w:name w:val="Imported Style 5"/>
    <w:pPr>
      <w:numPr>
        <w:numId w:val="19"/>
      </w:numPr>
    </w:pPr>
  </w:style>
  <w:style w:type="numbering" w:styleId="Imported Style 6">
    <w:name w:val="Imported Style 6"/>
    <w:pPr>
      <w:numPr>
        <w:numId w:val="23"/>
      </w:numPr>
    </w:pPr>
  </w:style>
  <w:style w:type="paragraph" w:styleId="v1gmail-body">
    <w:name w:val="v1gmail-body"/>
    <w:next w:val="v1gmail-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00" w:before="10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numbering" w:styleId="Imported Style 7">
    <w:name w:val="Imported Style 7"/>
    <w:pPr>
      <w:numPr>
        <w:numId w:val="26"/>
      </w:numPr>
    </w:pPr>
  </w:style>
  <w:style w:type="numbering" w:styleId="Imported Style 8">
    <w:name w:val="Imported Style 8"/>
    <w:pPr>
      <w:numPr>
        <w:numId w:val="30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8GT4KKxLcl3/KX7U4AqKYoE05g==">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