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   </w:t>
      </w:r>
    </w:p>
    <w:tbl>
      <w:tblPr>
        <w:tblStyle w:val="Table1"/>
        <w:tblW w:w="918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93"/>
        <w:gridCol w:w="4593"/>
        <w:tblGridChange w:id="0">
          <w:tblGrid>
            <w:gridCol w:w="4593"/>
            <w:gridCol w:w="459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anglo-irlandzka/walijska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Irish and Welsh Literature in English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Aleksander Bednarski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na poziomie C1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Zorientowanie studenta w historii i głównych trendach w literaturze irlandzkiej i walijskiej, tworzonych w j. angielskim oraz w wybranych pozycjach w językach irlandzkim i walijskim w tłumaczeniu na angielski</w:t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Zrozumienie relacji kulturowych, literackich i historycznych między literaturami anglojęzycznymi i walijsko/irlandzkojęzycznymi Walii i Irlandii oraz między ich źródłami chrześcijańskimi a pogańskimi (celtyckimi)</w:t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Zrozumienie zależności pomiędzy literaturami Irlandii i Walii a literaturą i kulturą angielską, europejską oraz kulturą popularną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5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8"/>
        <w:gridCol w:w="5780"/>
        <w:gridCol w:w="2104"/>
        <w:tblGridChange w:id="0">
          <w:tblGrid>
            <w:gridCol w:w="1068"/>
            <w:gridCol w:w="5780"/>
            <w:gridCol w:w="2104"/>
          </w:tblGrid>
        </w:tblGridChange>
      </w:tblGrid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9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wymienia i definiuje terminy literaturoznawcze charakterystyczne dla literatury walijskiej i irlandzkiej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wymienia i relacjonuje wybrane metody i teorie stosowane w badaniach nad literaturą walijską i irlandzką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</w:p>
        </w:tc>
      </w:tr>
      <w:tr>
        <w:trPr>
          <w:cantSplit w:val="0"/>
          <w:trHeight w:val="19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wymienia i wyjaśnia główne różnice kulturowe i historyczne między Irlandią, Walią a Anglią na przykładzie irlandzkich i walijskich tekstów literackich, podaje źródła informacji i cytatów wykazując zrozumienie problematyki prawa własności intelektualnej w kontekście akademickim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K_W08, K_W09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konstruuje wypowiedzi ustne i pisemne analizujące teksty krytycznoliterackie dotyczące literatury irlandzkiej i walijskiej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K_U07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analizuje i porównuje irlandzkie i walijskie teksty literackie używając stosownej terminologii literaturoznawczej i ilustruje wypowiedź przykładami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K_U02, K_U07</w:t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rozpoznaje odniesienia kulturowe i historyczne w irlandzkich i walijskich tekstach literackich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zachowuje otwartość wobec innych niż angielska kultur i tradycji literackich Wysp Brytyjskich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</w:t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7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Wstęp do historii, języka, kultury i literatury Irlandii i Walii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7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Mitologia walijska/irlandzka i jej współczesne wykorzystanie w kulturze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7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średniowiecza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7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Tradycja poetycka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7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Merlin i legenda arturiańska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7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Kultura irlandzko/walijskojęzyczna a anglo-irlandzka i anglo-walijska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7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wieku XIX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7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Ikony literatury irlandzkiej/walijskiej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7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XX wieku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7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 XX wieku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7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w latach 2000-2023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7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Prezentacje studentów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7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Prezentacje studentów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7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Prezentacje studentów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7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Prezentacje studentów</w:t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49"/>
        <w:gridCol w:w="2790"/>
        <w:gridCol w:w="2544"/>
        <w:tblGridChange w:id="0">
          <w:tblGrid>
            <w:gridCol w:w="1083"/>
            <w:gridCol w:w="2649"/>
            <w:gridCol w:w="2790"/>
            <w:gridCol w:w="2544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problemowy i dyskusja; praca z tekstem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prezentacja, praca pisemna, raport z prezentacji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prezentacji, oceniona praca pisemna, protokół, sprawdzony i oceniony raport z prezentacji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problemowy i dyskusja; praca z tekstem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prezentacja, praca pisemna, raport z prezentacji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prezentacji, oceniona praca pisemna, protokół, sprawdzony i oceniony raport z prezentacji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problemowy i dyskusja; praca z tekstem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prezentacja, praca pisemna, raport z prezentacji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prezentacji, oceniona praca pisemna, protokół, sprawdzony i oceniony raport z prezentacji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problemowy i dyskusja; praca indywidualna, 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prezentacja, praca pisemna, raport z prezentacji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prezentacji, oceniona praca pisemna, protokół, sprawdzony i oceniony raport z prezentacji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problemowy i dyskusja; Praca indywidualna, 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prezentacja, praca pisemna, raport z prezentacji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prezentacji, oceniona praca pisemna, protokół, sprawdzony i oceniony raport z prezentacji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problemowy i dyskusja; praca indywidualna, 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prezentacja, praca pisemna, raport z prezentacji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prezentacji, oceniona praca pisemna, protokół, sprawdzony i oceniony raport z prezentacji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Samodzielne przygotowanie pracy pisemnej i wypowiedzi ustnej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prezentacja, praca pisemna, raport z prezentacji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prezentacji, oceniona praca pisemna, protokół, sprawdzony i oceniony raport z prezentacji</w:t>
            </w:r>
          </w:p>
        </w:tc>
      </w:tr>
    </w:tbl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uwagi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prezentacja - 50 punktów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pytania do osoby przedstawiającej prezentację dotyczące omawianych w niej zagadnień -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 punkt/pytanie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mini projekty - 40 punktów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Prezentacja będąca streszczeniem i analizą wybrane</w:t>
      </w:r>
      <w:r w:rsidDel="00000000" w:rsidR="00000000" w:rsidRPr="00000000">
        <w:rPr>
          <w:sz w:val="22"/>
          <w:szCs w:val="22"/>
          <w:rtl w:val="0"/>
        </w:rPr>
        <w:t xml:space="preserve">j powieści walijskiej lub irlandzkiej.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winien wykazać się zrozumieniem kontekstu historycznego</w:t>
      </w:r>
      <w:r w:rsidDel="00000000" w:rsidR="00000000" w:rsidRPr="00000000">
        <w:rPr>
          <w:sz w:val="22"/>
          <w:szCs w:val="22"/>
          <w:rtl w:val="0"/>
        </w:rPr>
        <w:t xml:space="preserve">, kulturowego i językowego danego utworu oraz dokonać próby jego interpretacji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(max </w:t>
      </w:r>
      <w:r w:rsidDel="00000000" w:rsidR="00000000" w:rsidRPr="00000000">
        <w:rPr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punktów)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Kryteria oceny prezentacji: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Krótkie ale klarowne streszczenie treści utworu będącego przedmiotem analizy – 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Poprawna wymowa anglojęzycznych nazw własnych (tytuły, nazwiska, miejscowości etc) – </w:t>
      </w:r>
      <w:r w:rsidDel="00000000" w:rsidR="00000000" w:rsidRPr="00000000">
        <w:rPr>
          <w:b w:val="1"/>
          <w:sz w:val="22"/>
          <w:szCs w:val="22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b w:val="1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b w:val="1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Przedstawienie prezentacji w terminie – 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Logiczna i estetyczna wizualna organizacja prezntacji – 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</w:t>
      </w:r>
      <w:r w:rsidDel="00000000" w:rsidR="00000000" w:rsidRPr="00000000">
        <w:rPr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14" w:right="0" w:hanging="357"/>
        <w:jc w:val="left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prezentacja wygłoszona z pamięci - 30 p. (przeczytana - 20 p.)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Całościowa punktacja i oceny: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5,0 </w:t>
        <w:tab/>
        <w:t xml:space="preserve">  100-93%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4,5</w:t>
        <w:tab/>
        <w:t xml:space="preserve">  92-85%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  <w:tab/>
        <w:t xml:space="preserve">  84-77%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3,5 </w:t>
        <w:tab/>
        <w:t xml:space="preserve">  76-69%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  </w:t>
        <w:tab/>
        <w:t xml:space="preserve">  68-60%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             59-0%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8948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4"/>
        <w:gridCol w:w="4474"/>
        <w:tblGridChange w:id="0">
          <w:tblGrid>
            <w:gridCol w:w="4474"/>
            <w:gridCol w:w="44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 </w:t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43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Novels: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Cynan Jones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Bird, Blood, Snow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Niall Griffiths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Sheepshagger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Short stories: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Brian Friel “Mr Sing My Heart’s Delight”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Geraint Goodwin “The White Farm”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Niall Griffiths “About The Size of a Shoebox”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Robin Llywelyn “Reptiles Welcome”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Máirtín Ó Cadhain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“The Hare Lip”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Frank O’Connor “The Majesty of the Law”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Liam O’Flaherty “The Cow’s Death”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20" w:before="12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Dylan Thomas “A Story”</w:t>
            </w:r>
          </w:p>
        </w:tc>
      </w:tr>
    </w:tbl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1"/>
        <w:tblW w:w="921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6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Bazarnik, Katarzyna. “Globalne spojrzenie na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Finnegans Wake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 W: Wokół Jamesa Joyce’a: szkice monograficzne. Kraków, Universitas. s. 143-155.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Bednarski, A. “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highlight w:val="white"/>
                  <w:u w:val="none"/>
                  <w:vertAlign w:val="baseline"/>
                  <w:rtl w:val="0"/>
                </w:rPr>
                <w:t xml:space="preserve">Windows into the Myth: A Pictorial Reading of Lloyd Jones’s See How They Run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Image&amp;Narrative, Vol 19, No 2 (2018), 91-104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Bednarski, A. “A Hybrid made of Flowers: Blodeuwedd in Gwyneth Lewis’s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Meat Tree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”, w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Borderlands: Art, Literature, Culture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Ed. Ewelina Bańka, Zofia Kolbuszewska. Lublin, Wydawnictwo KUL, 2016. pp. 235-252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Bednarski, 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Inherent Myth. Wales in Niall Griffiths’s Fiction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Wydawnictwo KUL 2012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Breeze, Andrew. “The Dates of the Four Branches of the Mabinogi”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Studia Celtica Posnaniensia Vol 3 (1), 2018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47-62.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Conran, Tony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Dragon Has Two Tongues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Hunter, Jerry _. 2007. “Llywelyn’s Breath, Arthur’s Nightmare: The Medievalism within Welsh Modernism.” Edited by Patrick Sims-Williams and Gruffydd Aled Williams. Crossing Boundaries. Croesi Ffiniau. Proceedings of the XIIth International Congress of Celtic Studies 24-30 August 2003, University of Wales, Aberystwyth, Cambrian Medieval Celtic Studies, 53/54: 113–32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Jarman, A.O.H. “The Merlin Legend and the Welsh Tradition of Prophecy”. in: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Arthur of the Welsh. The Arthurian Legend in Medieval Welsh Literature.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Red. Rachel Bromwich, A.O.H. Jarman, i Brynley F. Roberts. University of Wales Press, Cardiff 1999, s. 117–145.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Klonowska, Marta.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Stories from Poland by a Welsh Soldier–John Elwyn Jones’s Translations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Studia Celtica Posnaniensia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Vol 1 (1), 2016. pp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2-24.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New History of Ireland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Vols 1-8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O’Loughlin, Thomas.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Journeys on the Edges. The Celtic Tradition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Darton, Longman and Todd Ltd, London 2000.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Thomas, M. W., “Hidden Attachments: Aspects of the Relationship Between the Two Literatures of Modern Wales”.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Welsh Writing in English: A Yearbook of Critical Essays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1 (1995). 145-163.</w:t>
            </w:r>
          </w:p>
        </w:tc>
      </w:tr>
    </w:tbl>
    <w:p w:rsidR="00000000" w:rsidDel="00000000" w:rsidP="00000000" w:rsidRDefault="00000000" w:rsidRPr="00000000" w14:paraId="00000100">
      <w:pPr>
        <w:widowControl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spacing w:after="200" w:line="276" w:lineRule="auto"/>
      <w:jc w:val="right"/>
      <w:rPr/>
    </w:pPr>
    <w:r w:rsidDel="00000000" w:rsidR="00000000" w:rsidRPr="00000000">
      <w:rPr>
        <w:rFonts w:ascii="Calibri" w:cs="Calibri" w:eastAsia="Calibri" w:hAnsi="Calibri"/>
        <w:i w:val="1"/>
        <w:sz w:val="22"/>
        <w:szCs w:val="22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14" w:hanging="357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70" w:hanging="393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82" w:hanging="305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910" w:hanging="393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30" w:hanging="393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42" w:hanging="30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70" w:hanging="393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90" w:hanging="39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502" w:hanging="305"/>
      </w:pPr>
      <w:rPr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1077" w:hanging="72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57" w:hanging="309.00000000000045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17" w:hanging="309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77" w:hanging="308.9999999999982"/>
      </w:pPr>
      <w:rPr>
        <w:smallCaps w:val="0"/>
        <w:strike w:val="0"/>
        <w:shd w:fill="auto" w:val="clear"/>
        <w:vertAlign w:val="baseline"/>
      </w:rPr>
    </w:lvl>
  </w:abstractNum>
  <w:abstractNum w:abstractNumId="12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1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BodyA" w:customStyle="1">
    <w:name w:val="Body A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BodyB" w:customStyle="1">
    <w:name w:val="Body B"/>
    <w:rPr>
      <w:rFonts w:cs="Arial Unicode MS"/>
      <w:color w:val="000000"/>
      <w:sz w:val="24"/>
      <w:szCs w:val="24"/>
      <w:u w:color="000000"/>
    </w:rPr>
  </w:style>
  <w:style w:type="numbering" w:styleId="ImportedStyle2" w:customStyle="1">
    <w:name w:val="Imported Style 2"/>
    <w:pPr>
      <w:numPr>
        <w:numId w:val="9"/>
      </w:numPr>
    </w:p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</w:rPr>
  </w:style>
  <w:style w:type="numbering" w:styleId="ImportedStyle3" w:customStyle="1">
    <w:name w:val="Imported Style 3"/>
    <w:pPr>
      <w:numPr>
        <w:numId w:val="11"/>
      </w:numPr>
    </w:pPr>
  </w:style>
  <w:style w:type="numbering" w:styleId="ImportedStyle4" w:customStyle="1">
    <w:name w:val="Imported Style 4"/>
    <w:pPr>
      <w:numPr>
        <w:numId w:val="15"/>
      </w:numPr>
    </w:pPr>
  </w:style>
  <w:style w:type="paragraph" w:styleId="NormalnyWeb">
    <w:name w:val="Normal (Web)"/>
    <w:pPr>
      <w:spacing w:after="100" w:before="100"/>
    </w:pPr>
    <w:rPr>
      <w:rFonts w:cs="Arial Unicode MS"/>
      <w:color w:val="000000"/>
      <w:sz w:val="24"/>
      <w:szCs w:val="24"/>
      <w:u w:color="000000"/>
      <w:lang w:val="en-US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Times New Roman" w:cs="Times New Roman" w:eastAsia="Times New Roman" w:hAnsi="Times New Roman"/>
      <w:shd w:color="auto" w:fill="ffffff" w:val="clear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3F2E93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3F2E93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mageandnarrative.be/index.php/imagenarrative/article/view/1812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2FPh0lrvMUvX6Q4dx4Gdk+0mQ==">CgMxLjAyCGguZ2pkZ3hzOAByITFENTA1Y2llX2dHQm1pNGRwanRldXdZQUNYMkllY1JQcA==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2021-09-22T12:05:00Z</dcterms:created>
</cp:coreProperties>
</file>