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Tezy licencjackie – studia stacjonarne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Językoznawstwo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hab. Wojciech Guz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Corpus linguistics - fundamental characteristics, resources and tools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a language corpus and what types of corpora are there?</w:t>
        <w:tab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language corpora for linguistic analysis – discuss advantages, possible problems, and typical application areas</w:t>
        <w:tab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Studying lexis in corpora – discuss advantages and problems as well as specific examples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Studying historical changes in language by means of corpora – discuss advantages (and problems, if any) as well as specific examples</w:t>
        <w:tab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Studying collocations and colligations by means of corpora – distinguish the two terms and discuss specific examples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corpora be useful in studying idioms?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corpora be useful in studying phraseology?</w:t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corpora be useful in studying grammar?</w:t>
        <w:tab/>
        <w:tab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corpora be useful in studying gender in language?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Studying differences between genres and geographical varieties in corpora – discuss research possibilities (and problems, if any) as well as specific examples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Studying differences between speech and writing in corpora – discuss research possibilities (and problems, if any) as well as specific examples</w:t>
        <w:br w:type="textWrapping"/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Językoznawstwo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Kinga 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Periodisation of the history of English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Early Modern English: timeframe and main characteristics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phenomenon of language change: reasons and attitudes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Typology of language change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Lexical change: types and examples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Semantic change: types and examples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Morphological and syntactic change: types and examples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Lexicon of Old and Early Modern English: a comparison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Lexicon of Middle and Present-day English: a comparison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Morphology of Old and Early Modern English: a comparison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Early Modern English orthography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Oxford English Dictionary: history, scope and main characteristics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Językoznawstwo stosowane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Karolina Hosang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Definition and types of borrowing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Adaptation and integration of loanwords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Bilingualism and multilingualism (definitions and types)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Diglossia, code-switching and code-mixing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Borrowing vs code-switching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Linguistic strategies of persuasion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Pidgins, creoles and lingua francas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Language variation: standard dialect, regional dialect and sociolect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Language variation: style, register, jargon and slang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Genderlect and gender-related language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Language contact and its outcomes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highlight w:val="white"/>
          <w:rtl w:val="0"/>
        </w:rPr>
        <w:t xml:space="preserve">Language change: causes and types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>
          <w:rFonts w:ascii="Times New Roman" w:cs="Times New Roman" w:eastAsia="Times New Roman" w:hAnsi="Times New Roman"/>
          <w:color w:val="1d21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Językoznawstwo porównawcze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Jerzy Wójcik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nzoevfz0ub6q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contrastive linguistics? The place of contrastive linguistics within linguistics.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Types of linguistic comparison.</w:t>
        <w:tab/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History </w:t>
        <w:tab/>
        <w:t xml:space="preserve">and development of contrastive linguistics.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Types of contrast in contrastive linguistics. </w:t>
        <w:tab/>
        <w:tab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Contrastive analysis,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tertium comparationis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corpora.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Corpus </w:t>
        <w:tab/>
        <w:t xml:space="preserve">linguistics - kinds of corpora, what counts as a corpus, corpus-based contrastive linguistics.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Corpus </w:t>
        <w:tab/>
        <w:t xml:space="preserve">analysis – frequency lists.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Corpus </w:t>
        <w:tab/>
        <w:t xml:space="preserve">analysis – dispersion.</w:t>
        <w:tab/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Corpus </w:t>
        <w:tab/>
        <w:t xml:space="preserve">analysis – collocations.</w:t>
        <w:tab/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RStudio as a tool for corpus linguistics (e.g. working with xlm files in RStudio, generating frequency lists, dispersion, association measures)</w:t>
        <w:tab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BNC-Baby – design, structure, major characteristics of the corpus.</w:t>
        <w:tab/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ntxabx2vgp6h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NKJP-podkorpus milionowy– design, structure, major characteristics of the corpus.</w:t>
        <w:br w:type="textWrapping"/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3jdks575b72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mr8js3qdynv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Kulturoznawstwo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Anna Antonowicz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Other and the politics of difference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Immigrant identity formation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inequality and discrimination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Working-class identity and values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Fashion as a form of communication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Gender as a social construct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Patriarchal versus feminist femininity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Masculinity and military ethos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Evolution of the concept of gentleman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Popular culture and commodification of youth subcultures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Youth cultures and subcultural forms of resistance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Postmodern crisis of morality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8byw7wc17qy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Literatura angielska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Łukasz Borowiec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svbrtcs1scvp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History of radio drama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Elements of radio drama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Radio drama adaptations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Post-war English drama – 1945-55 – main features and representative works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new wave of English drama – 1956-67 – main features and representative works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Theatre of the Absurd – main features and representative works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Kitchen sink realism and theatre – main features and representative works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 drama after 1968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Samuel Beckett as a playwright and man of the theatre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Harold Pinter as a playwright and man of the theatre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 Stoppard as a playwright and man of the theatre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“In-yer-face” drama and theatre – main features and representative works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Literatura amerykańska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Kamil Rusiłowicz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The American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Bildungsroman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postapocalypse in literature and culture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Postmodern poetics: metafiction, irony, intertextuality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The American Dream in literature and culture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The uncanny – definition and examples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The Male Gothic vs. Female Gothic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Nineteenth-Century American Gothic 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Slavery and American Gothic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Southern Gothic 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Frontier Gothic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Suburban Gothic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Contemporary horrors of American literature and culture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Seminarium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Literaturoznawstwo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Prowadzący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dr Jerzy Skwarzyński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huisjulbquc6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concept of theory in literary studies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Modernist poetry – characteristics, authors, movements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Modernist prose – characteristics, authors, works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Aristotle’s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Poetics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overview and key points</w:t>
        <w:tab/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Vladimir Propp’s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Morphology of the Folktale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overview and key points</w:t>
        <w:tab/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Narratology – characteristics and prominent thinkers</w:t>
        <w:tab/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Structuralism – characteristics and prominent thinkers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Poststructuralism – characteristics and prominent thinkers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Postmodernism – characteristics and prominent thinkers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Feminism – characteristics and prominent thinkers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Marxism – characteristics and prominent thinkers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Postcolonialism – characteristics and prominent thinkers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