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  <w:r w:rsidDel="00000000" w:rsidR="00000000" w:rsidRPr="00000000">
        <w:rPr>
          <w:rtl w:val="0"/>
        </w:rPr>
      </w:r>
    </w:p>
    <w:tbl>
      <w:tblPr>
        <w:tblStyle w:val="Table1"/>
        <w:tblW w:w="906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7"/>
        <w:gridCol w:w="4519"/>
        <w:tblGridChange w:id="0">
          <w:tblGrid>
            <w:gridCol w:w="4547"/>
            <w:gridCol w:w="4519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stem Font" w:cs="System Font" w:eastAsia="System Font" w:hAnsi="System Fon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Dydaktyka nauczania języka angielskiego na poziomie szkoły ponadpodstawowej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Teaching English; high school education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 Piotr Steinbrich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ind w:left="216" w:hanging="216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48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56"/>
        <w:gridCol w:w="2229"/>
        <w:gridCol w:w="2233"/>
        <w:gridCol w:w="2230"/>
        <w:tblGridChange w:id="0">
          <w:tblGrid>
            <w:gridCol w:w="2256"/>
            <w:gridCol w:w="2229"/>
            <w:gridCol w:w="2233"/>
            <w:gridCol w:w="22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I-II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216" w:hanging="216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Znajomość języka angielskiego na poziomie biegłości C1/C1+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C1 Nabycie umiejętności w zakresie metod nauczania i doboru efektywnych środków dydaktycznych w nauczaniu języka angielskiego jako obcego w szkołach ponadpodstawowych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C2 Poszerzenie wiedzy teoretycznej z zakresu dydaktyki nauczania języków obcych, w gym fachowej terminologii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C3 Nabycie umiejętności radzenia sobie w krytycznych zdarzeniach dydaktycznych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C4 Zdobycie wiedzy z zakresu awansu zawodowego</w:t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6"/>
        <w:tblW w:w="884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7"/>
        <w:gridCol w:w="5686"/>
        <w:gridCol w:w="2087"/>
        <w:tblGridChange w:id="0">
          <w:tblGrid>
            <w:gridCol w:w="1067"/>
            <w:gridCol w:w="5686"/>
            <w:gridCol w:w="2087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WIEDZA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zna miejsce danego przedmiotu lub rodzaju zajęć w ramowych planach nauczania na III etapie edukacyjnym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podstawę programową przedmiotu, cele kształcenia i treści nauczania przedmiotu na III etapie edukacyjnym, przedmiot w kontekście wcześniejszego i dalszego kształcenia, strukturę wiedzy w zakresie przedmiotu nauczania oraz kompetencje kluczowe i ich kształtowanie w ramach nauczania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integrację wewnątrz- i międzyprzedmiotową; zagadnienia związane z programem nauczania – tworzenie i modyfikację, analizę, ocenę, dobór i zatwierdzanie oraz zasady projektowania procesu kształcenia oraz rozkładu materiału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D.1.W3</w:t>
            </w:r>
          </w:p>
        </w:tc>
      </w:tr>
      <w:tr>
        <w:trPr>
          <w:cantSplit w:val="0"/>
          <w:trHeight w:val="3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kompetencje merytoryczne, dydaktyczne i wychowawcze nauczyciela, w tym potrzebę zawodowego rozwoju, także z wykorzystaniem technologii informacyjnokomunikacyjnej,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dostosowywania sposobu komunikowania się do poziomu rozwoju uczniów i stymulowania aktywności poznawczej uczniów, w tym kreowania sytuacji dydaktycznych;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D.1.W4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konwencjonalne i niekonwencjonalne metody nauczania, w tym metody aktywizujące i metodę projektów, proces uczenia się przez działanie, odkrywanie lub dociekanie naukowe oraz pracę badawczą ucznia, a także zasady doboru metod nauczania typowych dla danego przedmiotu lub rodzaju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D.1.W5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metodykę realizacji poszczególnych treści kształcenia w obrębie przedmiotu lub zajęć – rozwiązania merytoryczne i metodyczne, dobre praktyki, dostosowanie oddziaływań do potrzeb i możliwości uczniów lub grup uczniowskich o różnym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potencjale i stylu uczenia się, typowe dla przedmiotu lub rodzaju zajęć błędy uczniowskie, ich rolę i sposoby wykorzystania w procesie dydaktycznym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D.1.W6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organizację pracy w klasie szkolnej i grupach: potrzebę indywidualizacji nauczania, zagadnienie nauczania interdyscyplinarnego, formy pracy specyficzne dla danego przedmiotu lub rodzaju zajęć: wycieczki, zajęcia terenowe i laboratoryjne, doświadczenia i konkursy oraz zagadnienia związane z pracą domową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D.1.W7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zastosowania mediów i technologii informacyjno-komunikacyjnej; myślenie komputacyjne w rozwiązywaniu problemów w zakresie nauczanego przedmiotu lub prowadzonych zajęć; potrzebę wyszukiwania, adaptacji i tworzenia elektronicznych zasobów edukacyjnych i projektowania multimediów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D.1.W8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metody kształcenia w odniesieniu do nauczanego przedmiotu lub prowadzonych zajęć, a także znaczenie kształtowania postawy odpowiedzialnego i krytycznego wykorzystywania mediów cyfrowych oraz poszanowania praw własności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intelektualnej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D.1.W9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rolę diagnozy, kontroli i oceniania w pracy dydaktycznej; ocenianie i jego rodzaje: ocenianie bieżące, semestralne i roczne, ocenianie wewnętrzne i zewnętrzne; funkcje oceny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D.1.W10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egzaminy kończące etap edukacyjny i sposoby konstruowania testów, sprawdzianów oraz innych narzędzi przydatnych w procesie oceniania uczniów w ramach nauczanego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.W11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diagnozę wstępną grupy uczniowskiej i każdego ucznia w kontekście nauczanego przedmiotu lub prowadzonych zajęć oraz sposoby wspomagania rozwoju poznawczego uczniów; potrzebę kształtowania pojęć, postaw, umiejętności praktycznych, w tym rozwiązywania problemów, i wykorzystywania wiedzy; metody i techniki skutecznego uczenia się; metody strukturyzacji wiedzy oraz konieczność powtarzania i utrwalania wiedzy i 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D.1.W12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D.1.W13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warsztat pracy nauczyciela; właściwe wykorzystanie czasu lekcji przez ucznia i nauczyciela; zagadnienia związane ze sprawdzaniem i ocenianiem jakości kształcenia oraz jej ewaluacją, a także z koniecznością analizy i oceny własnej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pracy dydaktyczno-wychowawczej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D.1.W14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potrzebę kształtowania u ucznia pozytywnego stosunku do nauki, rozwijania ciekawości, aktywności i samodzielności poznawczej, logicznego i krytycznego myślenia, kształtowania motywacji do uczenia się danego przedmiotu i nawyków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systematycznego uczenia się, korzystania z różnych źródeł wiedzy, w tym z Internetu, oraz przygotowania ucznia do uczenia się przez całe życie przez stymulowanie go do samodzielnej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D.1.W15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UMIEJĘTNOŚCI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potrafi identyfikować typowe zadania szkolne z celami kształcenia, w szczególności z wymaganiami ogólnymi podstawy programowej, oraz z kompetencjami kluczowymi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przeanalizować rozkład materiału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D.1.U2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identyfikować powiązania treści nauczanego przedmiotu lub prowadzonych zajęć z innymi treściami nauczania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D.1.U3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dostosować sposób komunikacji do poziomu rozwojowego uczniów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D.1.U4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kreować sytuacje dydaktyczne służące aktywności i rozwojowi zainteresowań uczniów oraz popularyzacji wiedzy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D.1.U5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podejmować skuteczną współpracę w procesie dydaktycznym z rodzicami lub opiekunami uczniów, pracownikami szkoły i środowiskiem pozaszkolnym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D.1.U6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dobierać metody pracy klasy oraz środki dydaktyczne, w tym z zakresu technologii informacyjno-komunikacyjnej, aktywizujące uczniów i uwzględniające ich zróżnicowane potrzeby edukacyjne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D.1.U7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merytorycznie, profesjonalnie i rzetelnie oceniać pracę uczniów wykonywaną w klasie i w domu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D.1.U8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skonstruować sprawdzian służący ocenie danych umiejętności uczniów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D.1.U9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rozpoznać typowe dla nauczanego przedmiotu lub prowadzonych zajęć błędy uczniowskie i wykorzystać je w procesie dydaktycznym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D.1.U10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przeprowadzić wstępną diagnozę umiejętności ucznia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D.1.U11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adaptuje metody pracy do potrzeb i różnych style uczenia się uczniów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D.1.K1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popularyzuje wiedzę wśród uczniów i w środowisku szkolnym oraz pozaszkolnym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D.1.K2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zachęca uczniów do podejmowania prób badawczych oraz systematycznej aktywności fizycznej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D.1.K3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promuje odpowiedzialne i krytyczne wykorzystywania mediów cyfrowych oraz poszanowania praw własności intelektualnej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D.1.K4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kształtuje umiejętności współpracy uczniów, w gym grupowe rozwiązywania problemów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D.1.K5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buduje system wartości i rozwijania postaw etycznych uczniów oraz kształtuje ich kompetencje komunikacyjne i nawyki kulturalne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D.1.K6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rozwija u uczniów ciekawość, aktywność i samodzielność poznawczą oraz logiczne i krytyczne myślenie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D.1.K7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kształtuje nawyki systematycznego uczenia się i korzystania z różnych źródeł wiedzy, w tym z Internetu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D.1.K8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stymuluje uczniów do uczenia się przez całe życie przez samodzielną pracę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D.1.K9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240" w:lineRule="auto"/>
        <w:ind w:left="216" w:right="0" w:hanging="216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Głównym celem przedmioty jest przygotowanie studenta do wykonywania zawodu nauczyciela języka angielskiego na poziomie szkoły ponadpodstawowej. Treści programowe kształtują się następująco: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6"/>
              </w:numPr>
              <w:spacing w:after="0" w:line="240" w:lineRule="auto"/>
              <w:ind w:left="174" w:hanging="174"/>
              <w:rPr/>
            </w:pPr>
            <w:r w:rsidDel="00000000" w:rsidR="00000000" w:rsidRPr="00000000">
              <w:rPr>
                <w:rtl w:val="0"/>
              </w:rPr>
              <w:t xml:space="preserve">nauczanie sprawności i podsystemów językowych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6"/>
              </w:numPr>
              <w:spacing w:after="0" w:line="240" w:lineRule="auto"/>
              <w:ind w:left="174" w:hanging="174"/>
              <w:rPr/>
            </w:pPr>
            <w:r w:rsidDel="00000000" w:rsidR="00000000" w:rsidRPr="00000000">
              <w:rPr>
                <w:rtl w:val="0"/>
              </w:rPr>
              <w:t xml:space="preserve">testowanie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6"/>
              </w:numPr>
              <w:spacing w:after="0" w:line="240" w:lineRule="auto"/>
              <w:ind w:left="174" w:hanging="174"/>
              <w:rPr/>
            </w:pPr>
            <w:r w:rsidDel="00000000" w:rsidR="00000000" w:rsidRPr="00000000">
              <w:rPr>
                <w:rtl w:val="0"/>
              </w:rPr>
              <w:t xml:space="preserve">style i strategie uczenia się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6"/>
              </w:numPr>
              <w:spacing w:after="0" w:line="240" w:lineRule="auto"/>
              <w:ind w:left="174" w:hanging="174"/>
              <w:rPr/>
            </w:pPr>
            <w:r w:rsidDel="00000000" w:rsidR="00000000" w:rsidRPr="00000000">
              <w:rPr>
                <w:rtl w:val="0"/>
              </w:rPr>
              <w:t xml:space="preserve">komunikacja w klasie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6"/>
              </w:numPr>
              <w:spacing w:after="0" w:line="240" w:lineRule="auto"/>
              <w:ind w:left="174" w:hanging="174"/>
              <w:rPr/>
            </w:pPr>
            <w:r w:rsidDel="00000000" w:rsidR="00000000" w:rsidRPr="00000000">
              <w:rPr>
                <w:rtl w:val="0"/>
              </w:rPr>
              <w:t xml:space="preserve">tworzenie optymalnego środowiska uczenia się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6"/>
              </w:numPr>
              <w:spacing w:after="0" w:line="240" w:lineRule="auto"/>
              <w:ind w:left="174" w:hanging="174"/>
              <w:rPr/>
            </w:pPr>
            <w:r w:rsidDel="00000000" w:rsidR="00000000" w:rsidRPr="00000000">
              <w:rPr>
                <w:rtl w:val="0"/>
              </w:rPr>
              <w:t xml:space="preserve">praca z uczniem zdolnym i słabym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6"/>
              </w:numPr>
              <w:spacing w:after="0" w:line="240" w:lineRule="auto"/>
              <w:ind w:left="174" w:hanging="174"/>
              <w:rPr/>
            </w:pPr>
            <w:r w:rsidDel="00000000" w:rsidR="00000000" w:rsidRPr="00000000">
              <w:rPr>
                <w:rtl w:val="0"/>
              </w:rPr>
              <w:t xml:space="preserve">metody i podejścia w nauczaniu języków obcych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6"/>
              </w:numPr>
              <w:spacing w:after="0" w:line="240" w:lineRule="auto"/>
              <w:ind w:left="174" w:hanging="174"/>
              <w:rPr/>
            </w:pPr>
            <w:r w:rsidDel="00000000" w:rsidR="00000000" w:rsidRPr="00000000">
              <w:rPr>
                <w:rtl w:val="0"/>
              </w:rPr>
              <w:t xml:space="preserve">tworzenie własnych ćwiczeń i zadań językowych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6"/>
              </w:numPr>
              <w:spacing w:after="0" w:line="240" w:lineRule="auto"/>
              <w:ind w:left="174" w:hanging="174"/>
              <w:rPr/>
            </w:pPr>
            <w:r w:rsidDel="00000000" w:rsidR="00000000" w:rsidRPr="00000000">
              <w:rPr>
                <w:rtl w:val="0"/>
              </w:rPr>
              <w:t xml:space="preserve">wykorzystywanie nowoczesnych technology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6"/>
              </w:numPr>
              <w:spacing w:after="0" w:line="240" w:lineRule="auto"/>
              <w:ind w:left="174" w:hanging="174"/>
              <w:rPr/>
            </w:pPr>
            <w:r w:rsidDel="00000000" w:rsidR="00000000" w:rsidRPr="00000000">
              <w:rPr>
                <w:rtl w:val="0"/>
              </w:rPr>
              <w:t xml:space="preserve">zarządzenie klasą</w:t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WIEDZA</w:t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miniwykład wprowadzający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metoda obserwacji uczestniczącej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odpowiedź ustna i informscja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metoda problemowa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miniwykład wprowadzający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metoda problemowa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miniwykład wprowadzający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odpowiedź ustna i informscja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metoda problemowa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miniwykład wprowadzający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odpowiedź ustna i informscja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miniwykład wprowadzający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metoda obserwacji uczestniczącej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metoda problemowa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miniwykład wprowadzający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odpowiedź ustna i informscja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metoda problemowa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metoda obserwacji uczestniczącej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dyskusja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Na ocenę końcową z przedmiotu składają się następujące elementy:</w:t>
      </w:r>
    </w:p>
    <w:p w:rsidR="00000000" w:rsidDel="00000000" w:rsidP="00000000" w:rsidRDefault="00000000" w:rsidRPr="00000000" w14:paraId="00000182">
      <w:pPr>
        <w:numPr>
          <w:ilvl w:val="0"/>
          <w:numId w:val="7"/>
        </w:numPr>
        <w:ind w:left="174" w:hanging="174"/>
        <w:rPr/>
      </w:pPr>
      <w:r w:rsidDel="00000000" w:rsidR="00000000" w:rsidRPr="00000000">
        <w:rPr>
          <w:rtl w:val="0"/>
        </w:rPr>
        <w:t xml:space="preserve">aktywność na zajęciach - 30%</w:t>
      </w:r>
    </w:p>
    <w:p w:rsidR="00000000" w:rsidDel="00000000" w:rsidP="00000000" w:rsidRDefault="00000000" w:rsidRPr="00000000" w14:paraId="00000183">
      <w:pPr>
        <w:numPr>
          <w:ilvl w:val="0"/>
          <w:numId w:val="7"/>
        </w:numPr>
        <w:ind w:left="174" w:hanging="174"/>
        <w:rPr/>
      </w:pPr>
      <w:r w:rsidDel="00000000" w:rsidR="00000000" w:rsidRPr="00000000">
        <w:rPr>
          <w:rtl w:val="0"/>
        </w:rPr>
        <w:t xml:space="preserve">stworzenie i przedstawienie prezentacji wprowadzającej materiał gramatyczny lub przeprowadzenie symulacji lekcji - 40%</w:t>
      </w:r>
    </w:p>
    <w:p w:rsidR="00000000" w:rsidDel="00000000" w:rsidP="00000000" w:rsidRDefault="00000000" w:rsidRPr="00000000" w14:paraId="00000184">
      <w:pPr>
        <w:numPr>
          <w:ilvl w:val="0"/>
          <w:numId w:val="7"/>
        </w:numPr>
        <w:ind w:left="174" w:hanging="174"/>
        <w:rPr/>
      </w:pPr>
      <w:r w:rsidDel="00000000" w:rsidR="00000000" w:rsidRPr="00000000">
        <w:rPr>
          <w:rtl w:val="0"/>
        </w:rPr>
        <w:t xml:space="preserve">stworzenie i przedstawienie prezentacji ćwiczącej jedną ze sprawności językowych lub przeprowadzenie symulacji lekcji - 40%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9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8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Douglas Brown, H. Principles of Language Learning and Teaching. Pearson.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Harmer, J. The Practice of English Language Teaching. Pearson.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Komorowska, H. Metodyka Nauczania Języków Obcych, Fraszka Edukacyjna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Thornbury, S. Uncovering Grammar. Macmillan.</w:t>
            </w:r>
          </w:p>
        </w:tc>
      </w:tr>
    </w:tbl>
    <w:p w:rsidR="00000000" w:rsidDel="00000000" w:rsidP="00000000" w:rsidRDefault="00000000" w:rsidRPr="00000000" w14:paraId="00000194">
      <w:pPr>
        <w:widowControl w:val="0"/>
        <w:tabs>
          <w:tab w:val="left" w:pos="1080"/>
        </w:tabs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stem Fo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774" w:hanging="173.9999999999999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2574" w:hanging="174.0000000000004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774" w:hanging="173.9999999999999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2574" w:hanging="174.0000000000004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893363"/>
    <w:pPr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sid w:val="00893363"/>
    <w:rPr>
      <w:u w:val="single"/>
    </w:rPr>
  </w:style>
  <w:style w:type="table" w:styleId="TableNormal" w:customStyle="1">
    <w:name w:val="Table Normal"/>
    <w:rsid w:val="00893363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rsid w:val="00893363"/>
    <w:pPr>
      <w:tabs>
        <w:tab w:val="center" w:pos="4536"/>
        <w:tab w:val="right" w:pos="9072"/>
      </w:tabs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rsid w:val="00893363"/>
    <w:pPr>
      <w:tabs>
        <w:tab w:val="right" w:pos="9020"/>
      </w:tabs>
    </w:pPr>
    <w:rPr>
      <w:rFonts w:ascii="Helvetica" w:cs="Helvetica" w:eastAsia="Helvetica" w:hAnsi="Helvetica"/>
      <w:color w:val="000000"/>
      <w:sz w:val="24"/>
      <w:szCs w:val="24"/>
    </w:rPr>
  </w:style>
  <w:style w:type="paragraph" w:styleId="Akapitzlist">
    <w:name w:val="List Paragraph"/>
    <w:rsid w:val="00893363"/>
    <w:pPr>
      <w:spacing w:after="200" w:line="276" w:lineRule="auto"/>
      <w:ind w:left="720"/>
    </w:pPr>
    <w:rPr>
      <w:rFonts w:ascii="Calibri" w:cs="Arial Unicode MS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rsid w:val="00893363"/>
    <w:pPr>
      <w:numPr>
        <w:numId w:val="1"/>
      </w:numPr>
    </w:pPr>
  </w:style>
  <w:style w:type="paragraph" w:styleId="TableStyle2" w:customStyle="1">
    <w:name w:val="Table Style 2"/>
    <w:rsid w:val="00893363"/>
    <w:rPr>
      <w:rFonts w:ascii="Helvetica Neue" w:cs="Arial Unicode MS" w:hAnsi="Helvetica Neue"/>
      <w:color w:val="000000"/>
      <w:u w:color="000000"/>
    </w:rPr>
  </w:style>
  <w:style w:type="paragraph" w:styleId="Default" w:customStyle="1">
    <w:name w:val="Default"/>
    <w:rsid w:val="00893363"/>
    <w:rPr>
      <w:rFonts w:ascii="Helvetica Neue" w:cs="Helvetica Neue" w:eastAsia="Helvetica Neue" w:hAnsi="Helvetica Neue"/>
      <w:color w:val="000000"/>
      <w:sz w:val="22"/>
      <w:szCs w:val="22"/>
      <w:u w:color="000000"/>
      <w:lang w:val="es-ES_tradnl"/>
    </w:rPr>
  </w:style>
  <w:style w:type="numbering" w:styleId="Bullets" w:customStyle="1">
    <w:name w:val="Bullets"/>
    <w:rsid w:val="00893363"/>
    <w:pPr>
      <w:numPr>
        <w:numId w:val="12"/>
      </w:numPr>
    </w:pPr>
  </w:style>
  <w:style w:type="paragraph" w:styleId="Stopka">
    <w:name w:val="footer"/>
    <w:basedOn w:val="Normalny"/>
    <w:link w:val="StopkaZnak"/>
    <w:uiPriority w:val="99"/>
    <w:semiHidden w:val="1"/>
    <w:unhideWhenUsed w:val="1"/>
    <w:rsid w:val="008A254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8A2549"/>
    <w:rPr>
      <w:rFonts w:ascii="Calibri" w:cs="Arial Unicode MS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aktl17UqbHY3KOCd5/6D4pCTVg==">AMUW2mWsWx8YkCDws4MSVhfoC8Is1LcFisSUnWOwq2LZWU6WbiMuWk0EiIld6wECEQ2KKeKbEFAhXuEYH9wNCx8eY9CkaqEjZNNBSgSRLraAbPVzmrs8H7I=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2021-10-04T07:55:00Z</dcterms:created>
</cp:coreProperties>
</file>