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Wybrane zagadnienia kulturoznawstwa angielskiego obszaru językowego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Selected Aspects of Anglo-American Cultural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Nauki o kulturze i religii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Anna Antonowicz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Poziom języka początkowo C1, ogólna znajomość najważniejszych faktów z historii rozwoju kultury anglo-amerykańskiej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79646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40"/>
        <w:tblGridChange w:id="0">
          <w:tblGrid>
            <w:gridCol w:w="88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none"/>
                <w:rtl w:val="0"/>
              </w:rPr>
              <w:t xml:space="preserve">Badanie wybitnych i popularnych filmów i innych tekstów wizualnej kultury anglojęzycznej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none"/>
                <w:rtl w:val="0"/>
              </w:rPr>
              <w:t xml:space="preserve">Analiza środków przekazu języka głównych ideologii dotyczących wartości i mitów kulturowych Moderny na bazie badanych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C3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none"/>
                <w:rtl w:val="0"/>
              </w:rPr>
              <w:t xml:space="preserve">Zwrócenie uwagi na sposoby tworzenia dominujących znaczeń w kulturze Nowoczesności, mechanizmy ich rozpowszechniania oraz głosy krytyki wobec nich. Kurs poruszy takie zagadnienia jak: stereotypy; konsumpcjonizm; płeć/ciało/piękno; przestrzeń/miasto/przedmieścia; styl życia/ gust/moda, turystyka; technologia/sztuczna inteligencja; system/neoliberalizm/bieda; panoptykon/kontrola i inne.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Zaprezentowanie aparatu poznawczego z dziedziny kulturoznawstwa i jego zastosowanie przy analizie filmów jako tekstów kulturowych.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7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terminologię i opisuje teorie i główne kierunki rozwoju związane z badaniami nad Moderną w ramach kulturoznawstwa w odniesieniu do współczesnej anglojęzycznej kultury wizualnej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pos="720"/>
                <w:tab w:val="left" w:pos="1440"/>
              </w:tabs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K_W01, 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prezentuje i różnicuje metody analizy różnych zjawisk Moderny oraz tekstu wizualnego (filmu, reklamy, malarstwo, fotografia) jako tekstu kulturowego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wykrywa tendencje rozwoju i ocenia reprezentacje Moderny w wytworach anglojęzycznej kultury wizualnej XX i XXI wieku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K_W07, 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dokonuje krytycznej analizy filmowych i wizualnych tekstów kultury w odniesieniu do złożonych procesów historyczno-kulturowych Nowoczesności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pos="720"/>
                <w:tab w:val="left" w:pos="1440"/>
              </w:tabs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badawcze na temat tekstów kultury wykorzystując metody badawcze omawianych teorii kultury Moderny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erytorycznie przedstawia i ocenia różne stanowiska zawarte w wybranych tekstach kultury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kształtuje otwartość wobec innych postaw, tradycji i kultur reprezentowanych w omawianych filmach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930.0" w:type="dxa"/>
        <w:jc w:val="left"/>
        <w:tblInd w:w="3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930"/>
        <w:tblGridChange w:id="0">
          <w:tblGrid>
            <w:gridCol w:w="8930"/>
          </w:tblGrid>
        </w:tblGridChange>
      </w:tblGrid>
      <w:tr>
        <w:trPr>
          <w:cantSplit w:val="0"/>
          <w:trHeight w:val="3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Wprowadzenie i idea kursu: zakres tematyczny, wskazanie źródeł, metod pracy, zasad zaliczenia przedmiotu; definicja dyskursu, propagandy i ideologii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Wartosći i idee: oznaczanie, klasyfikowanie, stereotypy, uprzedzenia, konformizm + film Adam’s Apples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Ideologie auto-percepcji i auto-kreacji: postrzeganie płci, piękna, ciała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Ciało w przestrzeni codzienności: miasto + film Full Monty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Neoliberalizm, państwo opiekuńcze wobec biedy i człowieka + film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I, Daniel Blake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Polityka codzienności: władza, system, kontrola i panoptykon w edukacji &gt; dokument “War on kids”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Kultura materialna, konsumpcjonizm, styl życia &gt; ideologia w reklamie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Banalność przedmieść, domowość, gust, nowoczesne psychozy suburbii+ film American Beauty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Praktyki codzienności: podróżowanie, globalizacja, wielokulturowość a samotność człowieka nowoczesnego + film Lost in Translation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Praktyki codzienności: technologia i Sztuczna Inteligencja + filmy Ex Machina, Blade Runner 2049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7"/>
        <w:gridCol w:w="2581"/>
        <w:gridCol w:w="2710"/>
        <w:gridCol w:w="2482"/>
        <w:tblGridChange w:id="0">
          <w:tblGrid>
            <w:gridCol w:w="1067"/>
            <w:gridCol w:w="2581"/>
            <w:gridCol w:w="2710"/>
            <w:gridCol w:w="2482"/>
          </w:tblGrid>
        </w:tblGridChange>
      </w:tblGrid>
      <w:tr>
        <w:trPr>
          <w:cantSplit w:val="0"/>
          <w:trHeight w:val="8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Miniwykład wprowadzający/ wyjaśnienie poszczególnych zagadnień,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pisemna, prezentacja/projekt,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 Prezentacja/projekt,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 Prezentacja/projekt,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7"/>
        <w:gridCol w:w="2581"/>
        <w:gridCol w:w="2710"/>
        <w:gridCol w:w="2482"/>
        <w:tblGridChange w:id="0">
          <w:tblGrid>
            <w:gridCol w:w="1067"/>
            <w:gridCol w:w="2581"/>
            <w:gridCol w:w="2710"/>
            <w:gridCol w:w="248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 Analiza tekstów,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ustna, 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 Analiza tekstów,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ustna, 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 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 Analiza tekstów,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ustna, 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3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Ocena końcowa:</w:t>
      </w:r>
      <w:r w:rsidDel="00000000" w:rsidR="00000000" w:rsidRPr="00000000">
        <w:rPr>
          <w:rFonts w:ascii="Arimo" w:cs="Arimo" w:eastAsia="Arimo" w:hAnsi="Arimo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1. frekwencja (10%) - Ilość dozwolonych nieobecności: 3</w:t>
      </w:r>
      <w:r w:rsidDel="00000000" w:rsidR="00000000" w:rsidRPr="00000000">
        <w:rPr>
          <w:rFonts w:ascii="Arimo" w:cs="Arimo" w:eastAsia="Arimo" w:hAnsi="Arimo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2. przygotowanie do zajęć, aktywny udział w zajęciach (20%)</w:t>
      </w:r>
      <w:r w:rsidDel="00000000" w:rsidR="00000000" w:rsidRPr="00000000">
        <w:rPr>
          <w:rFonts w:ascii="Arimo" w:cs="Arimo" w:eastAsia="Arimo" w:hAnsi="Arimo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3. praca semestralna – projekt w formie prezentacji Power Point (70%)</w:t>
      </w:r>
      <w:r w:rsidDel="00000000" w:rsidR="00000000" w:rsidRPr="00000000">
        <w:rPr>
          <w:rFonts w:ascii="Arimo" w:cs="Arimo" w:eastAsia="Arimo" w:hAnsi="Arimo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Prezentacja Power Point - sprawdzająca umiejętność selekcji materiału do analizy, postawienia tezy oraz zebrania informacji na temat kontekstu teoretyczno-kulturowego (ideologicznego) wybranego tekstu kulturowego dotyczącego zagadnienia Nowoczesności oraz sprawdzająca umiejętność analizy wybranego tekstu w świetle tego kontekstu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Filmy z listy sylabusa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1.John Berger,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Way of Seeing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1972.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2.Fran Martin,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Interpreting Everyday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Arnold Publications, 2003.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3.Conor Sheridan, “Foucault, Power and the Modern Panopticon”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4.Glen Savage, „Neoliberalism, Education and Curriculum“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5.Maria Balshaw, Liam Kennedy,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Urban Space and Representation,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Pluto Press, 2000.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6.R. Ellis, A. McClintock,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highlight w:val="white"/>
                <w:u w:val="none"/>
                <w:rtl w:val="0"/>
              </w:rPr>
              <w:t xml:space="preserve">If you take my meaning.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u w:val="none"/>
                <w:rtl w:val="0"/>
              </w:rPr>
              <w:t xml:space="preserve">Theory Into Practice 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highlight w:val="white"/>
                <w:u w:val="none"/>
                <w:rtl w:val="0"/>
              </w:rPr>
              <w:t xml:space="preserve"> Human Communication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u w:val="none"/>
                <w:rtl w:val="0"/>
              </w:rPr>
              <w:t xml:space="preserve">, Bloomsbury, 2009.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7.Ning Wang, “Rethinking authenticity in tourist experience”,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highlight w:val="white"/>
                <w:u w:val="none"/>
                <w:rtl w:val="0"/>
              </w:rPr>
              <w:t xml:space="preserve">Annals of Tourism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, 26/2 (1999), 349-370.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8.John g. McGraw, „Loneliness, its nature and forms: an existential perspective”,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highlight w:val="white"/>
                <w:u w:val="none"/>
                <w:rtl w:val="0"/>
              </w:rPr>
              <w:t xml:space="preserve">Man and World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 28 (1995), 43-64.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widowControl w:val="0"/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Kolorowalistaakcent11" w:customStyle="1">
    <w:name w:val="Kolorowa lista — akcent 11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C77FB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77FB9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uJ9E7OpyzJudDjQx3gLbz5IuzQ==">AMUW2mU26EKSwKYPBjFZrkN5pphMyEbYtyLP8ZHD6zi/k1Q3RKCrb05SOz5Tgk5TTFbUsalEJxsv+6aMPnsL883QWyBKs1Xphto6wbgpgP5pX6+BF5ZZhzCbdpT/RGm5Z0pA2vvubhrd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2021-09-22T08:41:00Z</dcterms:created>
</cp:coreProperties>
</file>