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Medialne poszukiwania literatury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Literature and/ in the 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Ewelina Bańka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Poszerzona znajomość literatury amerykańskiej.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Umiejętność analizy i interpretacji utworu literackiego.</w:t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Pogłębienie wiedzy na temat zagadnień związanych z relacjami między literaturą amerykańską i szeroko rozumianymi mediami.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Pogłębienie wiedzy z zakresu krytyki literackiej na temat relacji między literaturą amerykańską i szeroko rozumianymi mediami.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Pogłębienie umiejętności analizy nowych zjawisk literackich i humanistycznych.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klarowny i merytoryczny przedstawia krytykę literacką oraz terminologię używaną do opisu zjawisk związanych z relacjami między literaturą i szeroko rozumianymi mediami.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K_W07, 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i opisuje zaawansowane metody analizy i interpretacji zjawisk związanych z relacjami między literaturą i szeroko rozumianymi mediami.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zaawansowanej analizy i  prezentacji informacji dotyczącej zjawisk związanych z relacjami między literaturą i szeroko rozumianymi mediami.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i analizuje problem badawczy, dobierając odpowiednie metody i narzędzia.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 sposób merytoryczny wypowiada się  na tematy dotyczące relacji między literaturą i szeroko rozumianymi mediami.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zachowuje krytycyzm w ocenie zarówno poziomu zdobytej wiedzy i umiejętności, jak i analizowanego materiału.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wykazuje odpowiedzialność za swoją postawę wobec odmiennych poglądów, kultur i tradycji.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8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Celem kursu jest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wybranych zagadnień związanych z relacjami między literaturą amerykańską i szeroko rozumianymi mediami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pogłębienie umiejętności analizy nowych zjawisk literackich i humanistycznych, ze szczególnym uwzględnieniem roli mediów na rozwój tych zjawisk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wybranych materiałów literackich oraz audiowizualnych ma na celu ukazanie miejsca i roli szeroko rozumianych mediów w rozwoju współczesnego kanonu literackiego. Przykłady analizowanych zagadnień: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słowo a obraz: ewolucja dzieła literackiego w rzeczywistości medialnej (formy literackie a film i fotografia)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zjawiska społeczne  a medialne reprezentacje literatury i poezji (ruch praw obywatelskich w USA)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medialne interpretacje dzieła literackiego: granice 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liryka w mediach społecznościowych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 a nowe formy literackie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Bdr>
          <w:top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4"/>
        <w:gridCol w:w="2549"/>
        <w:gridCol w:w="2676"/>
        <w:gridCol w:w="2453"/>
        <w:tblGridChange w:id="0">
          <w:tblGrid>
            <w:gridCol w:w="1054"/>
            <w:gridCol w:w="2549"/>
            <w:gridCol w:w="2676"/>
            <w:gridCol w:w="2453"/>
          </w:tblGrid>
        </w:tblGridChange>
      </w:tblGrid>
      <w:tr>
        <w:trPr>
          <w:cantSplit w:val="0"/>
          <w:trHeight w:val="1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 wykład wprowadzający/ Dyskusja/ Analiza tekstu i materiałów audiowizualnych/ Studium przypadku / Wyjaśnienie poszczególnych zagadnień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pracy studentów i informacja zwrotna od  prowadzącego/ 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 wykład wprowadzający/ Dyskusja/ Analiza tekstu i materiałów audiowizualnych/ Studium przypadku / 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pracy studentów i informacja zwrotna od  prowadzącego/ Odpowiedź ustna i informacja zwrotna od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Notatki w arkuszu ocen prowadzącego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/ Dyskusja / Praca indywidualna / Praca zespołowa /Praca w grupie / Studium przypadku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 prowadzącego / Odpowiedź ustna w czasie zajęć sprawdzająca wiedzę praktyczną / Odpowiedź ustna i informacja zwrotna od prowadzącego / Przygotowanie i wykonanie projektu / Prezentacja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/ Dyskusja / Praca indywidualna / Praca zespołowa /Praca w grupie /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 prowadzącego / Odpowiedź ustna w czasie zajęć sprawdzająca wiedzę praktyczną / Odpowiedź ustna i informacja zwrotna od prowadzącego / Przygotowanie i wykonanie projektu / Prezentacja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tekstu / Dyskusja / Praca indywidualna / Praca zespołowa /Praca w grupie /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Monitorowanie i informacja zwrotna od  prowadzącego / Odpowiedź ustna w czasie zajęć sprawdzająca wiedzę praktyczną / Odpowiedź ustna i informacja zwrotna od prowadzącego / Przygotowanie i wykonanie projektu / Prezentacja /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Notatki w arkuszu ocen prowadzącego / Karta oceny prezentacji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grupach w różnych rolach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grupach w różnych rolach /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A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Podstawowe kryteria oceny: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aktywne uczestnictwo w zajęciach, na które składa się udział w dyskusji, praca w parach i grupach oraz realizacja mini-projektów/zadań w trakcie semestru (50% oceny końcowej).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grupowa podsumowująca  zdobytą wiedzę, umiejętności i kompetencje społeczne studentów (50% oceny końcowej).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Barber, John F. "Digital Storytelling. New Opportunities for Humanities Scholarship and Pedagogy." Cogent Arts &amp; Humanities 3 (2016).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Materiały bieżące z prasy i Internetu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numbering" w:styleId="ImportedStyle2" w:customStyle="1">
    <w:name w:val="Imported Style 2"/>
    <w:pPr>
      <w:numPr>
        <w:numId w:val="13"/>
      </w:numPr>
    </w:pPr>
  </w:style>
  <w:style w:type="paragraph" w:styleId="Stopka">
    <w:name w:val="footer"/>
    <w:basedOn w:val="Normalny"/>
    <w:link w:val="StopkaZnak"/>
    <w:uiPriority w:val="99"/>
    <w:unhideWhenUsed w:val="1"/>
    <w:rsid w:val="00A10C1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10C18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7QQX3fCnARDSJBTkHR5/vVQ30A==">AMUW2mUsETnA3bfvuWTMe/OkK6aBjfLwYH6afBWLB2Fvv1yhoxWKeVAU+F3IVY+7ZJVg7PG5tuHF3vT/o57l5L3GFW0y6i43DO7gd0XqLnBcAzDZAcEAK+4CnNMUITlMmv+MNUoHgzrE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2021-09-22T09:04:00Z</dcterms:created>
</cp:coreProperties>
</file>