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Teksty kultury amerykańskiej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Texts of American culture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Urszula Niewiadomska-Flis, prof. KUL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9"/>
        <w:gridCol w:w="2258"/>
        <w:gridCol w:w="2261"/>
        <w:gridCol w:w="2258"/>
        <w:tblGridChange w:id="0">
          <w:tblGrid>
            <w:gridCol w:w="2216"/>
            <w:gridCol w:w="69"/>
            <w:gridCol w:w="2258"/>
            <w:gridCol w:w="2261"/>
            <w:gridCol w:w="2258"/>
          </w:tblGrid>
        </w:tblGridChange>
      </w:tblGrid>
      <w:tr>
        <w:trPr>
          <w:cantSplit w:val="0"/>
          <w:trHeight w:val="8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Ogólna znajomość kultury i literatury amerykańskiej.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63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Ogólna znajomość historii USA.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Przygotowanie metodologiczne i językowe do analizy tekstów kultury (literatury, filmu, blogów, reklam, czy seriali telewizyjnych).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Pogłębienie umiejętności analizy zjawisk kulturowych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Uzyskanie zdolności identyfikowania elementów literatury i kultury amerykańskiej w kulturze współczesnej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5"/>
        <w:tblW w:w="884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8"/>
        <w:gridCol w:w="5686"/>
        <w:gridCol w:w="2086"/>
        <w:tblGridChange w:id="0">
          <w:tblGrid>
            <w:gridCol w:w="1068"/>
            <w:gridCol w:w="5686"/>
            <w:gridCol w:w="2086"/>
          </w:tblGrid>
        </w:tblGridChange>
      </w:tblGrid>
      <w:tr>
        <w:trPr>
          <w:cantSplit w:val="0"/>
          <w:trHeight w:val="11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wybrane terminy anglojęzyczne używane w analizie naukowej tekstów kultury (takich jak: literatura, filmy, seriale telewizyjne, reklamy, blogi czy teksty piosenek).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uporządkowaną, zaawansowaną wiedzę na temat teorii oraz modeli analizy tekstów kultury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analizuje fundamentalne dylematy amerykańskiego społeczeństwa uwidocznione w tekstach kultury amerykańskiej XX oraz XXI wieku.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przedstawić własną interpretację tekstu kultury (stosując zaawansowane metody i narzędzia badawcze pozwalające na twórcze i innowacyjne rozwiązanie problemów w zakresie studiów amerykanistycznych)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 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argumentować z wykorzystaniem własnych poglądów oraz opracowań teoretycznych i krytycznych dotyczących tekstów kultury amerykańskiej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się otwartością wobec nowych zjawisk oraz nowych podejść teoretycznych w kulturze amerykańskiej.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Martin Scorsese’s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Age of Innocence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(1993)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Awakening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by Kate Chopin (1899)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Jon Avnet’s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Fried Green Tomatoes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(1991)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Gurinder Chadha’s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What’s Cooking?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(2000)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Stanley Tucci’s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Night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(1996)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movements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and music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Race, food, and hip hop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money &amp; food: competitive eating, muckbang, ASMR, etc.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Eating (with) the Other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TV ads and food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Serialized food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&amp; magical realism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fantasy and sci-fi food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in children’s literature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 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w trakcie zajęć oparta na metodzie sokratycznej; 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wytworów kultury w parach i/lub grupie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wytworów kultury w parach i/lub grupie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Plik z prezentacją/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(uwagi , ocena lub +/-)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Prezentacja zaliczeniowa (50%). Prezentacja polega na studium przypadku, do której studenci muszą wykorzystać </w:t>
      </w:r>
      <w:r w:rsidDel="00000000" w:rsidR="00000000" w:rsidRPr="00000000">
        <w:rPr>
          <w:b w:val="1"/>
          <w:sz w:val="22"/>
          <w:szCs w:val="22"/>
          <w:rtl w:val="0"/>
        </w:rPr>
        <w:t xml:space="preserve">materiał teoretyczny</w:t>
      </w:r>
      <w:r w:rsidDel="00000000" w:rsidR="00000000" w:rsidRPr="00000000">
        <w:rPr>
          <w:sz w:val="22"/>
          <w:szCs w:val="22"/>
          <w:rtl w:val="0"/>
        </w:rPr>
        <w:t xml:space="preserve"> omawiany podczas kursu.</w:t>
      </w:r>
    </w:p>
    <w:p w:rsidR="00000000" w:rsidDel="00000000" w:rsidP="00000000" w:rsidRDefault="00000000" w:rsidRPr="00000000" w14:paraId="000000D9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Jeden projekt tematyczny przygotowywany w grupach 3-4 osobowych (25%)</w:t>
      </w:r>
    </w:p>
    <w:p w:rsidR="00000000" w:rsidDel="00000000" w:rsidP="00000000" w:rsidRDefault="00000000" w:rsidRPr="00000000" w14:paraId="000000DA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Aktywność i zaangażowanie podczas zajęć (25%)</w:t>
      </w:r>
    </w:p>
    <w:p w:rsidR="00000000" w:rsidDel="00000000" w:rsidP="00000000" w:rsidRDefault="00000000" w:rsidRPr="00000000" w14:paraId="000000DB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 aktywny udział w zajęciach student dostaje plusa.</w:t>
        <w:tab/>
        <w:tab/>
        <w:tab/>
        <w:tab/>
        <w:tab/>
        <w:tab/>
        <w:tab/>
        <w:t xml:space="preserve">7 i więcej plusów (5) </w:t>
        <w:tab/>
        <w:tab/>
        <w:tab/>
        <w:tab/>
        <w:tab/>
        <w:tab/>
        <w:tab/>
        <w:tab/>
        <w:tab/>
        <w:tab/>
        <w:t xml:space="preserve">5-6 plusów (4) </w:t>
        <w:tab/>
        <w:tab/>
        <w:tab/>
        <w:tab/>
        <w:tab/>
        <w:tab/>
        <w:tab/>
        <w:tab/>
        <w:tab/>
        <w:tab/>
        <w:tab/>
        <w:t xml:space="preserve">4-3 plusy (3) </w:t>
        <w:tab/>
        <w:tab/>
        <w:tab/>
        <w:tab/>
        <w:tab/>
        <w:tab/>
        <w:tab/>
        <w:tab/>
        <w:tab/>
        <w:tab/>
        <w:tab/>
        <w:t xml:space="preserve">0-2 plusy (2)</w:t>
      </w:r>
    </w:p>
    <w:p w:rsidR="00000000" w:rsidDel="00000000" w:rsidP="00000000" w:rsidRDefault="00000000" w:rsidRPr="00000000" w14:paraId="000000DC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Bez konsekwencji są dozwolone dwie nieobecności na zajęciach.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Źródła prymarne: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wymienione w harmonogramie spotkań (treści programowe)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Przykładowe źródła sekundarne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Anderson, Eugene Newton,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Everyone Eats: Understanding Food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New York, New York UP, 2005.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Avakian, Arlene Voski and Barbara Haber,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Betty Crocker to Feminist Food Studies: Critical Perspectives on Women and Food.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Amherst: University of Massachusetts Press, 2005.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Bell, David, and Gill Valentine.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Consuming Geographies: We Are Where we Eat.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London: Routledge, 1997.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Bourdieu, Pierre,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Distinction: A Social Critique of the Judgment of Taste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(1979),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translated from French by Richard Nice, Cambridge, Harvard UP, 1984.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Bower, Anne.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Reel Food: Essays on Food and Film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 &amp; London: Routledge, 2004.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Counihan, Carole and Penny Van Esterik.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and Culture: a Reader.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NY: Routledge, 1997.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Counihan, C. M..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Anthropology of Food and Body: Gender, Meaning, and Power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York: Routledge. 1999.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Etizoni, Amitai and Jared Bloom,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We are What We Celebrate. Understanding Holidays and Rituals.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New York and London: New York UP, 2004.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Finkelstein, Joanne,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Dining Out: a Sociology of Modern Manners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New York: New York UP, 1989.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Goody, Jack,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Cooking, Cuisine and Class: A Study in Comparative Sociology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Cambridge, Cambridge UP, 1982.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Inness, S.A.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 Lessons: The Politics of Gender and 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Lanham: Rowman and Littlefield, 2001.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Keller, James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Film and Culture: A Genre Study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Jefferson, N.C.: McFarland &amp; Co., 2006.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Long, Lucy 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Regional American Food Culture.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Greenwood, 2009.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Levenstein, Harvey.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Paradox of Plenty: A Social History of Eating in Modern America.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New York and Oxford: Oxford UP, 1993.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Lupton, Deborah,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the Body and the Self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London, Sage, 1996.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McCullough, Kate.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Regions of Identity: The Construction of America in Women's Fiction, 1885-1914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Stanford, CA., Stanford UP, 1999.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McGee, Diane.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 the Meal: Dinner in the Fiction of Early Twentieth-Century Women Writers.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Toronto: U Toronto P, 2001.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Poole, Gaye.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Reel Meals, Set Meals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in Film and Theatre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Sydney: Currency Press, 2001.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Rubin, Lawrence 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for thought: essays on eating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Scapp, Ron and Brian Seitz,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Eating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York: State University of New York Press, 1993.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Sceats,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Consumption and the Body in Contemporary Women’s Fiction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 (UK) &amp; NY: Cambridge UP, 2000.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Schofield, Mary Anne,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Cooking by the Book: Food in Literature and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1989. Bowling Green, OH: Bowling Green St. U Popular P, 1989.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Sollors, Werner.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Invention of Ethnicity,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ed. Werner Sollors. New York: Oxford University Press, 1989.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43" w:right="0" w:hanging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Warde, Alan, and Lydia Martens.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Eating Out: Social Differentiation, Consumption, and Pleasure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Cambridge, England: Cambridge UP, 2000.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</w:tblPr>
  </w:style>
  <w:style w:type="paragraph" w:styleId="Nagłówek">
    <w:name w:val="Nagłówek"/>
    <w:next w:val="Nagłówek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Helvetica Neue" w:eastAsia="Helvetica Neue" w:hAnsi="Helvetica Neue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Akapitzlistą">
    <w:name w:val="Akapit z listą"/>
    <w:next w:val="Akapitzlistą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numbering" w:styleId="ImportedStyle1">
    <w:name w:val="Imported Style 1"/>
    <w:next w:val="ImportedStyle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TableStyle2A">
    <w:name w:val="Table Style 2 A"/>
    <w:next w:val="TableStyle2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v1gmail-bodya">
    <w:name w:val="v1gmail-bodya"/>
    <w:next w:val="v1gmail-body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v1msonormal">
    <w:name w:val="v1msonormal"/>
    <w:next w:val="v1mso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color w:val="auto"/>
      <w:w w:val="100"/>
      <w:position w:val="-1"/>
      <w:sz w:val="22"/>
      <w:szCs w:val="22"/>
      <w:effect w:val="none"/>
      <w:bdr w:color="auto" w:space="0" w:sz="0" w:val="none"/>
      <w:vertAlign w:val="baseline"/>
      <w:cs w:val="0"/>
      <w:em w:val="none"/>
      <w:lang w:bidi="ar-SA" w:eastAsia="en-US" w:val="pl-PL"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ny(Web)1">
    <w:name w:val="Normalny (Web)1"/>
    <w:basedOn w:val="Normalny"/>
    <w:next w:val="Normalny(Web)1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bdr w:color="auto" w:space="0" w:sz="0"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QHYC1bY3KjMT3c0BRMtkTnJrA==">AMUW2mXCNAvSxLml2dkr/Jn5VntPfMDSlOqD9w6a06Y5R4R7H21MVCxuIOhArBmRPqXlmsWMDC1z+2UvWdyKvaroNksMnfTmsERwvyjGM0xwH99JcA8mTBc=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2022-05-02T22:02:00Z</dcterms:created>
  <dc:creator>Urszula Niewiadomska-Flis</dc:creator>
</cp:coreProperties>
</file>