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literackie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Translation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gramatyki i leksyki języka angielskiego i polskiego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interpretacji tekstów pisanych i mówionych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formułowania opinii krytycznych o wytworach kultury na podstawie wiedzy naukowej i doświadczenia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argumentowania z wykorzystaniem własnych poglądów oraz poglądów innych autorów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samodzielność w wykonywaniu działań oraz w integrowaniu i zastosowaniu wiedzy z różnych dyscyplin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początkowo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6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z metodologią tłumaczeń pisemnych związanych z zagadnieniami literackimi.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z warsztatem tłumacza w oparciu o teorie tłumaczeń poparte ćwiczeniami praktycznymi nad przekładem pisemnym.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39.0" w:type="dxa"/>
        <w:jc w:val="left"/>
        <w:tblInd w:w="6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"/>
        <w:gridCol w:w="5492"/>
        <w:gridCol w:w="2016"/>
        <w:tblGridChange w:id="0">
          <w:tblGrid>
            <w:gridCol w:w="1031"/>
            <w:gridCol w:w="5492"/>
            <w:gridCol w:w="2016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i klasyfikuje pojęcia translatorskie w odniesieniu typów tekstów i zadań translatorskich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mechanizmy translacji i problemy translatorskie w przekładzie pomiędzy językami angielskim i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i ilustruje wpływ kontekstu kulturowego oraz zastosowanego sposobu wyrażania treści na proces komunikacji międzykulturowej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przekładu różnych rodzajów tekstów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tekstu pisemnego na jej podstawie wybiera właściwą strategię tłumaczeniową oraz dokonuje przekładu w obrębie języka polskiego i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zainteresowanie pogłębianiem wiedzy oraz poszerzaniem kompetencji językowych podczas wykonywania powierzonych zadań tłumaczeniowych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przedmiotu/treści programowe</w:t>
      </w:r>
    </w:p>
    <w:tbl>
      <w:tblPr>
        <w:tblStyle w:val="Table7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Cechy tłumaczenia literackiego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literackie a tłumaczenie innych tekstów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tłumaczenia literackiego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Przekład jako akt twórczy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4" w:right="0" w:hanging="357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Czym różni się tłumaczenie prozy od jej tworzenia?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4" w:right="0" w:hanging="357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w pisaniu prozy fabularnej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4" w:right="0" w:hanging="357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Edycja tekstu (organizacja akapitów i interpunkcja w dialogach)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gatunkowej: horror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i tłumaczenie literatury gatunkowej: komiks i powieść graficzna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gatunkowej: fantasy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gatunkowej: komedia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dziecięcej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młodzieżowej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 co tłumaczyć jeden tekst kilka razy? O seriach translatorskich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a praktyka przekładu literackiego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Przekład literacki jako źródło utrzymania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Omówienie zadań tłumaczeniowych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6.0" w:type="dxa"/>
        <w:jc w:val="left"/>
        <w:tblInd w:w="7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"/>
        <w:gridCol w:w="2646"/>
        <w:gridCol w:w="2779"/>
        <w:gridCol w:w="2548"/>
        <w:tblGridChange w:id="0">
          <w:tblGrid>
            <w:gridCol w:w="1093"/>
            <w:gridCol w:w="2646"/>
            <w:gridCol w:w="2779"/>
            <w:gridCol w:w="254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składają się oceny z następujących części składowych: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domowe (przy ocenie brana będzie jakość pracy i jej zgodność z poleceniem) - 30%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Zadanie tłumaczeniowe: przekład krótkiego tekstu literackiego z j. angielskiego  na j. polski (szczegółowe kryteria oceny zadania tłumaczeniowego zostaną podane razem z poleceniem) - 60%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Terminowe nadsyłanie prac domowych oraz zadania tłumaczeniowego - 10%</w:t>
      </w:r>
    </w:p>
    <w:p w:rsidR="00000000" w:rsidDel="00000000" w:rsidP="00000000" w:rsidRDefault="00000000" w:rsidRPr="00000000" w14:paraId="0000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Regularna i znaczna aktywność podczas zajęć (uczestnictwo w dyskusjach, komentowanie, podawanie przykładów, zadawanie pytań) poskutkuje podniesieniem oceny końcowej o 0,5 stopnia, o ile ocena końcowa nie wynosi 2 lub 5.</w:t>
      </w:r>
    </w:p>
    <w:p w:rsidR="00000000" w:rsidDel="00000000" w:rsidP="00000000" w:rsidRDefault="00000000" w:rsidRPr="00000000" w14:paraId="0000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Zadanie tłumaczeniowe będzie oceniane według następującej skali:</w:t>
      </w:r>
    </w:p>
    <w:p w:rsidR="00000000" w:rsidDel="00000000" w:rsidP="00000000" w:rsidRDefault="00000000" w:rsidRPr="00000000" w14:paraId="00000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M. (1992)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Words: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L., ed. (2004)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Translation Studies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Second edition. London: Routledge.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Adamczyk-Garbowska, Monika. (1988)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Polskie tłumaczenia angielskiej literatury dziecięcej. Problem krytyki przekładu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Wrocław: Zakład Narodowy im. Ossolińskich.</w:t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M.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Routledge Encyclopedia of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Bassnett, S. (2000) (2nd 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Methuen.</w:t>
            </w:r>
          </w:p>
          <w:p w:rsidR="00000000" w:rsidDel="00000000" w:rsidP="00000000" w:rsidRDefault="00000000" w:rsidRPr="00000000" w14:paraId="000000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Bukowski, P. and M. Heydel (2009)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Współczesne teorie przekładu. Antologia.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Kraków: Znak.</w:t>
            </w:r>
          </w:p>
          <w:p w:rsidR="00000000" w:rsidDel="00000000" w:rsidP="00000000" w:rsidRDefault="00000000" w:rsidRPr="00000000" w14:paraId="000000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Eco, U. (2004)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Mouse or Rat? Translation as Negotiation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Phoenix.</w:t>
            </w:r>
          </w:p>
          <w:p w:rsidR="00000000" w:rsidDel="00000000" w:rsidP="00000000" w:rsidRDefault="00000000" w:rsidRPr="00000000" w14:paraId="000000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Lathey G. (2010)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Role of Translators in Children’s Literature. Invisible Storytellers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E2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Lathey G., (2016)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Translating Children’s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Lewicki, R. (2019)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Zagadnienia lingwistyki przekładu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Lublin: Wydawnictwo UMCS.</w:t>
            </w:r>
          </w:p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Munday, J., ed. (2009)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Routledge Companion to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 and New York: Routledge.</w:t>
            </w:r>
          </w:p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Steiner, G. (1975)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After Babel: Aspects of Language and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OUP.</w:t>
            </w:r>
          </w:p>
          <w:p w:rsidR="00000000" w:rsidDel="00000000" w:rsidP="00000000" w:rsidRDefault="00000000" w:rsidRPr="00000000" w14:paraId="000000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Toury, G. (1995)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Descriptive Translation Studies - and Beyond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Amsterdam: Benjamins.</w:t>
            </w:r>
          </w:p>
          <w:p w:rsidR="00000000" w:rsidDel="00000000" w:rsidP="00000000" w:rsidRDefault="00000000" w:rsidRPr="00000000" w14:paraId="000000E7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Urbanek, Dorota. (2004)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Pęknięte lustro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Warszawa.</w:t>
            </w:r>
          </w:p>
          <w:p w:rsidR="00000000" w:rsidDel="00000000" w:rsidP="00000000" w:rsidRDefault="00000000" w:rsidRPr="00000000" w14:paraId="000000E8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L. (1995)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Translator's Invisibility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 </w:t>
            </w:r>
          </w:p>
          <w:p w:rsidR="00000000" w:rsidDel="00000000" w:rsidP="00000000" w:rsidRDefault="00000000" w:rsidRPr="00000000" w14:paraId="000000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L.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Scandals of Translation: Towards an Ethics of Difference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 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Williams, J. and A. Chesterman.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Map: A Beginner’s Guide to Doing Research in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Manchester: St Jerome. </w:t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86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8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87.00000000000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A" w:customStyle="1">
    <w:name w:val="Table Style 2 A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lang w:val="en-US"/>
    </w:rPr>
  </w:style>
  <w:style w:type="character" w:styleId="Hyperlink1" w:customStyle="1">
    <w:name w:val="Hyperlink.1"/>
    <w:basedOn w:val="None"/>
    <w:rPr>
      <w:rFonts w:ascii="Times New Roman" w:cs="Times New Roman" w:eastAsia="Times New Roman" w:hAnsi="Times New Roman"/>
      <w:i w:val="1"/>
      <w:iCs w:val="1"/>
      <w:lang w:val="en-US"/>
    </w:rPr>
  </w:style>
  <w:style w:type="paragraph" w:styleId="Index" w:customStyle="1">
    <w:name w:val="Index"/>
    <w:pPr>
      <w:widowControl w:val="0"/>
      <w:spacing w:after="200"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a">
    <w:name w:val="List"/>
    <w:pPr>
      <w:widowControl w:val="0"/>
      <w:suppressAutoHyphens w:val="1"/>
      <w:spacing w:after="200" w:line="276" w:lineRule="auto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Hyperlink2" w:customStyle="1">
    <w:name w:val="Hyperlink.2"/>
    <w:basedOn w:val="None"/>
    <w:rPr>
      <w:rFonts w:ascii="Times New Roman" w:cs="Times New Roman" w:eastAsia="Times New Roman" w:hAnsi="Times New Roman"/>
      <w:kern w:val="36"/>
      <w:lang w:val="en-US"/>
    </w:rPr>
  </w:style>
  <w:style w:type="character" w:styleId="Hyperlink3" w:customStyle="1">
    <w:name w:val="Hyperlink.3"/>
    <w:basedOn w:val="None"/>
    <w:rPr>
      <w:rFonts w:ascii="Times New Roman" w:cs="Times New Roman" w:eastAsia="Times New Roman" w:hAnsi="Times New Roman"/>
      <w:i w:val="1"/>
      <w:iCs w:val="1"/>
      <w:kern w:val="3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rFonts w:ascii="Calibri" w:cs="Calibri" w:eastAsia="Calibri" w:hAnsi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15B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15BBE"/>
    <w:rPr>
      <w:rFonts w:ascii="Tahoma" w:cs="Tahoma" w:eastAsia="Calibri" w:hAnsi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15B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15BBE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IhBIoXREfIeZRoCPVrY91yuDw==">AMUW2mW5AUbidXzTAzPoULVS4+LIkymeIgH11Rw/4PDhZmKEqAteUKpJR+sAticoQavNDtw2Eo17+wR6fu99Pk03tgkH5to4BaJdXEvWPpGhBl1U8wEkgQA=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2021-09-22T09:24:00Z</dcterms:created>
</cp:coreProperties>
</file>