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  <w:r w:rsidDel="00000000" w:rsidR="00000000" w:rsidRPr="00000000">
        <w:rPr>
          <w:rtl w:val="0"/>
        </w:rPr>
      </w:r>
    </w:p>
    <w:tbl>
      <w:tblPr>
        <w:tblStyle w:val="Table1"/>
        <w:tblW w:w="9682.0" w:type="dxa"/>
        <w:jc w:val="left"/>
        <w:tblInd w:w="3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5137"/>
        <w:tblGridChange w:id="0">
          <w:tblGrid>
            <w:gridCol w:w="4545"/>
            <w:gridCol w:w="513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Kulturoznawstwo angielskiego obszaru językowego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 Culture of the English Linguistic Sphere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82.0" w:type="dxa"/>
        <w:jc w:val="left"/>
        <w:tblInd w:w="3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5134"/>
        <w:tblGridChange w:id="0">
          <w:tblGrid>
            <w:gridCol w:w="4548"/>
            <w:gridCol w:w="513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 Mark Ó Fionnáin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2.0" w:type="dxa"/>
        <w:jc w:val="left"/>
        <w:tblInd w:w="3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97"/>
        <w:gridCol w:w="2368"/>
        <w:gridCol w:w="2372"/>
        <w:gridCol w:w="2495"/>
        <w:tblGridChange w:id="0">
          <w:tblGrid>
            <w:gridCol w:w="2397"/>
            <w:gridCol w:w="2368"/>
            <w:gridCol w:w="2372"/>
            <w:gridCol w:w="249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I-IV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77.0" w:type="dxa"/>
        <w:jc w:val="left"/>
        <w:tblInd w:w="349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3"/>
        <w:gridCol w:w="7444"/>
        <w:tblGridChange w:id="0">
          <w:tblGrid>
            <w:gridCol w:w="2233"/>
            <w:gridCol w:w="744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Bardzo dobra znajomość języka angielskiego: B2+/C1</w:t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ind w:left="241" w:hanging="24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682.0" w:type="dxa"/>
        <w:jc w:val="left"/>
        <w:tblInd w:w="3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82"/>
        <w:tblGridChange w:id="0">
          <w:tblGrid>
            <w:gridCol w:w="9682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20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C1 Przekazanie zasad pisania pracy magisterskiej i wybór tematów prac zgodnie z zainteresowaniami i kompetencjami studentów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C2 Pogłębienie wiedzy i sprawności studentów z zakresu kulturoznawstwa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C3 Napisanie i przedstawienie samodzielnie napisanej pracy magisterskiej na podstawie własnych badań, eksperymentów, ankiet, analiz oraz przeprowadzonych projektów badawczych a także w oparciu o istniejącą literaturę z wybranej dziedziny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  <w:r w:rsidDel="00000000" w:rsidR="00000000" w:rsidRPr="00000000">
        <w:rPr>
          <w:rtl w:val="0"/>
        </w:rPr>
      </w:r>
    </w:p>
    <w:tbl>
      <w:tblPr>
        <w:tblStyle w:val="Table6"/>
        <w:tblW w:w="9667.0" w:type="dxa"/>
        <w:jc w:val="left"/>
        <w:tblInd w:w="359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5830"/>
        <w:gridCol w:w="2743"/>
        <w:tblGridChange w:id="0">
          <w:tblGrid>
            <w:gridCol w:w="1094"/>
            <w:gridCol w:w="5830"/>
            <w:gridCol w:w="2743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porządkuje swoją wiedzę o aspektach kultur krajów anglojęzycznych.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identyfikuje rolę seminarium magisterskiego jako istotnego elementu w procesie przygotowania do dalszej działalności zawodowej.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wymienia i definuje pojęcia z zakresu prawa autorskiego.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wyszukuje, analizuje i ocenia materiał badawczy na temat problemów i wyprowadza wnioski w zakresie kulturoznawstwa anglojęzycznych.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stosuje złożone konstrukcje gramatyczne i stylistyczne w języku angielskim na poziomie B2+/C1.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precyzyjnie i poprawnie logicznie argumentuje sądy, porządkuje i testuje hipotezy w formie pisemnej i wyraża swoje myśli i poglądy w języku angielskim.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merytorycznie argumentuje, przedstawia i ocenia różne opinie i stanowiska oraz formułuje wnioski, tworzy syntetyczne podsumowania bazując na materiale badawczym.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samodzielnie porządkuje, weryfikuje i opracowuje materiał badawczy z zakresu języka angielskiego oraz znajomość literatury i kultury krajów anglojęzycznych.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zachowuje otwartość na krytykę swoich działań w zakresie pracy nad rozprawą magisterską, i zachowuje krytycyzm w stosunku do źródeł.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spacing w:after="20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stosuje się do ustaleń z prowadzącym pracę i dąży do zniwelowania własnych luk kompetencyjnych.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przestrzega zasad etycznych w zakresie prawa autorskiego, wykazuje odpowiedzialność za swoją pracę.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108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  <w:r w:rsidDel="00000000" w:rsidR="00000000" w:rsidRPr="00000000">
        <w:rPr>
          <w:rtl w:val="0"/>
        </w:rPr>
      </w:r>
    </w:p>
    <w:tbl>
      <w:tblPr>
        <w:tblStyle w:val="Table7"/>
        <w:tblW w:w="9682.0" w:type="dxa"/>
        <w:jc w:val="left"/>
        <w:tblInd w:w="3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82"/>
        <w:tblGridChange w:id="0">
          <w:tblGrid>
            <w:gridCol w:w="9682"/>
          </w:tblGrid>
        </w:tblGridChange>
      </w:tblGrid>
      <w:tr>
        <w:trPr>
          <w:cantSplit w:val="0"/>
          <w:trHeight w:val="2049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shd w:fill="ffffff" w:val="clear"/>
              <w:spacing w:after="200"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 I-II</w:t>
            </w:r>
          </w:p>
          <w:p w:rsidR="00000000" w:rsidDel="00000000" w:rsidP="00000000" w:rsidRDefault="00000000" w:rsidRPr="00000000" w14:paraId="00000087">
            <w:pPr>
              <w:shd w:fill="ffffff" w:val="clear"/>
              <w:spacing w:after="200"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Analiza danych. Praca z tekstem historycznym. Techniki pisania pracy dyplomowej.</w:t>
            </w:r>
          </w:p>
          <w:p w:rsidR="00000000" w:rsidDel="00000000" w:rsidP="00000000" w:rsidRDefault="00000000" w:rsidRPr="00000000" w14:paraId="00000088">
            <w:pPr>
              <w:shd w:fill="ffffff" w:val="clear"/>
              <w:spacing w:after="200"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 II-IV  </w:t>
            </w:r>
          </w:p>
          <w:p w:rsidR="00000000" w:rsidDel="00000000" w:rsidP="00000000" w:rsidRDefault="00000000" w:rsidRPr="00000000" w14:paraId="00000089">
            <w:pPr>
              <w:shd w:fill="ffffff" w:val="clear"/>
              <w:spacing w:after="200" w:line="3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wokół wybranych przez seminarzystów tematów prac magisterskich.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pBdr>
          <w:top w:space="0" w:sz="0" w:val="nil"/>
        </w:pBd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  <w:r w:rsidDel="00000000" w:rsidR="00000000" w:rsidRPr="00000000">
        <w:rPr>
          <w:rtl w:val="0"/>
        </w:rPr>
      </w:r>
    </w:p>
    <w:tbl>
      <w:tblPr>
        <w:tblStyle w:val="Table8"/>
        <w:tblW w:w="9632.0" w:type="dxa"/>
        <w:jc w:val="left"/>
        <w:tblInd w:w="3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146"/>
        <w:gridCol w:w="2775"/>
        <w:gridCol w:w="2915"/>
        <w:gridCol w:w="2796"/>
        <w:tblGridChange w:id="0">
          <w:tblGrid>
            <w:gridCol w:w="1146"/>
            <w:gridCol w:w="2775"/>
            <w:gridCol w:w="2915"/>
            <w:gridCol w:w="2796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Sprawdzony fragment pracy magisterskiej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Sprawdzony fragment pracy magisterskiej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magisterska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magisterska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magisterska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magisterska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magisterska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magisterska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284" w:firstLine="0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Warunkiem uzyskania zaliczenia w poszczególnych semestrach jest przedstawienie planu pracy w I semestrze i pierwszego rozdziału w II semestrze, kolejnych rozdziałów w kolejnych semestrach, oraz całej pracy w IV semestrze.</w:t>
      </w:r>
    </w:p>
    <w:p w:rsidR="00000000" w:rsidDel="00000000" w:rsidP="00000000" w:rsidRDefault="00000000" w:rsidRPr="00000000" w14:paraId="000000DF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  <w:r w:rsidDel="00000000" w:rsidR="00000000" w:rsidRPr="00000000">
        <w:rPr>
          <w:rtl w:val="0"/>
        </w:rPr>
      </w:r>
    </w:p>
    <w:tbl>
      <w:tblPr>
        <w:tblStyle w:val="Table9"/>
        <w:tblW w:w="9682.0" w:type="dxa"/>
        <w:jc w:val="left"/>
        <w:tblInd w:w="3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5144"/>
        <w:tblGridChange w:id="0">
          <w:tblGrid>
            <w:gridCol w:w="4538"/>
            <w:gridCol w:w="514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555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682.0" w:type="dxa"/>
        <w:jc w:val="left"/>
        <w:tblInd w:w="3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82"/>
        <w:tblGridChange w:id="0">
          <w:tblGrid>
            <w:gridCol w:w="968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spacing w:after="20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Lawrence Grossberg, Cary Nelson, Paula Treichler,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Cultural Studies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London: Routledge, 1999.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John Storey,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An Introduction to Cultural Theory and Popular Culture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London: Prentice Hall, 1997.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Anna Gray, Jim McGuigan,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Studying Culture. An Introductory Reader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London: Arnold, 1993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Jane Stokes,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How to do Media and Cultural Studies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London: Sage Publications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Stuart Hall (ed.)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REPRESENTATION: Cultural Representations and Signifying Practices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London: Sage Publications, 1997.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Benedict Anderson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Imagined Communities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London: Verso, 2006.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Hayden White,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Metahistory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Baltimore&amp;London: The Johns Hopkins University Press, 1975. David Carr, Time,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Narrative and History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Indiana University Press. 1991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C">
            <w:pPr>
              <w:spacing w:after="20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Materiały autorskie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firstLine="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firstLine="51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firstLine="51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firstLine="51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5">
    <w:lvl w:ilvl="0">
      <w:start w:val="6"/>
      <w:numFmt w:val="upperRoman"/>
      <w:lvlText w:val="%1."/>
      <w:lvlJc w:val="left"/>
      <w:pPr>
        <w:ind w:left="108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6">
    <w:lvl w:ilvl="0">
      <w:start w:val="8"/>
      <w:numFmt w:val="upperRoman"/>
      <w:lvlText w:val="%1."/>
      <w:lvlJc w:val="left"/>
      <w:pPr>
        <w:ind w:left="1080" w:firstLine="0"/>
      </w:pPr>
      <w:rPr>
        <w:b w:val="1"/>
        <w:smallCaps w:val="0"/>
        <w:strike w:val="0"/>
        <w:color w:val="00000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b w:val="1"/>
        <w:smallCaps w:val="0"/>
        <w:strike w:val="0"/>
        <w:color w:val="00000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firstLine="51"/>
      </w:pPr>
      <w:rPr>
        <w:b w:val="1"/>
        <w:smallCaps w:val="0"/>
        <w:strike w:val="0"/>
        <w:color w:val="00000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b w:val="1"/>
        <w:smallCaps w:val="0"/>
        <w:strike w:val="0"/>
        <w:color w:val="00000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b w:val="1"/>
        <w:smallCaps w:val="0"/>
        <w:strike w:val="0"/>
        <w:color w:val="00000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firstLine="51"/>
      </w:pPr>
      <w:rPr>
        <w:b w:val="1"/>
        <w:smallCaps w:val="0"/>
        <w:strike w:val="0"/>
        <w:color w:val="00000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b w:val="1"/>
        <w:smallCaps w:val="0"/>
        <w:strike w:val="0"/>
        <w:color w:val="00000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b w:val="1"/>
        <w:smallCaps w:val="0"/>
        <w:strike w:val="0"/>
        <w:color w:val="00000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firstLine="51"/>
      </w:pPr>
      <w:rPr>
        <w:b w:val="1"/>
        <w:smallCaps w:val="0"/>
        <w:strike w:val="0"/>
        <w:color w:val="000000"/>
        <w:sz w:val="24"/>
        <w:szCs w:val="24"/>
        <w:shd w:fill="auto" w:val="clear"/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669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669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69"/>
      </w:pPr>
      <w:rPr>
        <w:smallCaps w:val="0"/>
        <w:strike w:val="0"/>
        <w:sz w:val="24"/>
        <w:szCs w:val="24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uppressAutoHyphens w:val="1"/>
    </w:pPr>
    <w:rPr>
      <w:rFonts w:cs="Arial Unicode MS"/>
      <w:color w:val="000000"/>
      <w:kern w:val="1"/>
      <w:sz w:val="24"/>
      <w:szCs w:val="24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FooterA" w:customStyle="1">
    <w:name w:val="Header &amp; Footer A"/>
    <w:pPr>
      <w:tabs>
        <w:tab w:val="right" w:pos="9020"/>
      </w:tabs>
      <w:suppressAutoHyphens w:val="1"/>
    </w:pPr>
    <w:rPr>
      <w:rFonts w:ascii="Helvetica Neue" w:cs="Arial Unicode MS" w:hAnsi="Helvetica Neue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uppressAutoHyphens w:val="1"/>
      <w:spacing w:after="200" w:line="276" w:lineRule="auto"/>
      <w:ind w:left="720"/>
    </w:pPr>
    <w:rPr>
      <w:rFonts w:cs="Arial Unicode MS"/>
      <w:color w:val="000000"/>
      <w:kern w:val="1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TableStyle2A" w:customStyle="1">
    <w:name w:val="Table Style 2 A"/>
    <w:pPr>
      <w:suppressAutoHyphens w:val="1"/>
    </w:pPr>
    <w:rPr>
      <w:rFonts w:cs="Arial Unicode MS"/>
      <w:color w:val="000000"/>
      <w:kern w:val="1"/>
      <w:u w:color="00000a"/>
    </w:rPr>
  </w:style>
  <w:style w:type="paragraph" w:styleId="Default" w:customStyle="1">
    <w:name w:val="Default"/>
    <w:pPr>
      <w:suppressAutoHyphens w:val="1"/>
    </w:pPr>
    <w:rPr>
      <w:rFonts w:cs="Arial Unicode MS"/>
      <w:color w:val="000000"/>
      <w:kern w:val="1"/>
      <w:sz w:val="22"/>
      <w:szCs w:val="22"/>
      <w:u w:color="00000a"/>
    </w:r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8"/>
      </w:numPr>
    </w:pPr>
  </w:style>
  <w:style w:type="numbering" w:styleId="ImportedStyle6" w:customStyle="1">
    <w:name w:val="Imported Style 6"/>
    <w:pPr>
      <w:numPr>
        <w:numId w:val="16"/>
      </w:numPr>
    </w:pPr>
  </w:style>
  <w:style w:type="paragraph" w:styleId="Nagwek">
    <w:name w:val="header"/>
    <w:basedOn w:val="Normalny"/>
    <w:link w:val="NagwekZnak"/>
    <w:uiPriority w:val="99"/>
    <w:unhideWhenUsed w:val="1"/>
    <w:rsid w:val="00ED45D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D45D5"/>
    <w:rPr>
      <w:rFonts w:cs="Arial Unicode MS"/>
      <w:color w:val="000000"/>
      <w:kern w:val="1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ED45D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ED45D5"/>
    <w:rPr>
      <w:rFonts w:cs="Arial Unicode MS"/>
      <w:color w:val="000000"/>
      <w:kern w:val="1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w5q5uEvAukth798P7IWr8OmIQg==">AMUW2mW7w/gtTDht8Wm9Ybx7bFZtNSQ7075QsqLjlxst7n+hya7Y7qoQ5CpAYHMIyaa1P6A0N4Aw0o0X3MoveAjgskH0jgH+imyXFD3NTlTdUcbu3Kg2ca7WNQEQL0aFZHaiEm9i1N/v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2021-09-22T11:43:00Z</dcterms:created>
</cp:coreProperties>
</file>