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4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before="24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6"/>
        <w:tblGridChange w:id="0">
          <w:tblGrid>
            <w:gridCol w:w="4545"/>
            <w:gridCol w:w="451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Kultura amerykańska w mediach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American culture through the 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Nauki o kulturze i religii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3"/>
        <w:tblGridChange w:id="0">
          <w:tblGrid>
            <w:gridCol w:w="4548"/>
            <w:gridCol w:w="451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Dominika Bugno-Narecka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6"/>
        <w:gridCol w:w="2259"/>
        <w:gridCol w:w="2262"/>
        <w:gridCol w:w="2259"/>
        <w:tblGridChange w:id="0">
          <w:tblGrid>
            <w:gridCol w:w="2286"/>
            <w:gridCol w:w="2259"/>
            <w:gridCol w:w="2262"/>
            <w:gridCol w:w="225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5"/>
        <w:gridCol w:w="6846"/>
        <w:tblGridChange w:id="0">
          <w:tblGrid>
            <w:gridCol w:w="2215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języka angielskiego nie niższy niż średnio-zaawansowany (B2)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Przedstawienie wybranych zagadnień dotyczących dziejów i przemian kultury USA.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Wprowadzenie pojęć z dziedziny kulturoznawstwa niezbędnych do analizy i interpretacji przemian współczesnej kultury amerykańskiej.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Rozwijanie zdolności rozpoznawania głównych nurtów współczesnej kultury amerykańskiej.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1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5830"/>
        <w:gridCol w:w="2138"/>
        <w:tblGridChange w:id="0">
          <w:tblGrid>
            <w:gridCol w:w="1094"/>
            <w:gridCol w:w="5830"/>
            <w:gridCol w:w="2138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wyjaśnia wybrane teorie, modele analizy oraz zjawiska współczesnej kultury amerykańskiej.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K_W04, K_W07,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podstawowe pojęcia i zasady ochrony własności intelektualnej i prawa autorskiego.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K_W08,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wybrane zjawiska współczesnej kultury amerykańskiej.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K_U05,   K_U07, K_U09,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konstruuje krytyczne sądy na podstawie analizowanych zagadnień z zakresu kultury amerykańskiej.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K_U05,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dyskutuje na temat znaczenia kultury amerykańskiej w kulturze europejskiej i światowej.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K_K02, K_K04, K_K05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otwartość na różne zjawiska w kulturze amerykańskiej.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K_K02, K_K04, K_K05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231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What is a medium?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to describe various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media products? (Elleström’s model and examples from American culture)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Convergence and participatory culture (Henry Jenkins’ model and examples from American culture)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Political correctness, cultural marxism and cancel culture - threats or opportunities?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Truth, media, documentary (case study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Chernobyl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Edward Hopper across the media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Andy Warhol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Walt Disney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Guillermo del Toro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Frances Glessner Lee and Forensic science in America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CSI effect and forensic imagination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Sherlock Holmes in America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Semester test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Presentation time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spacing w:after="40" w:line="27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Conclusions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V.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tbl>
      <w:tblPr>
        <w:tblStyle w:val="Table8"/>
        <w:tblW w:w="906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3"/>
        <w:gridCol w:w="2647"/>
        <w:gridCol w:w="2780"/>
        <w:gridCol w:w="2546"/>
        <w:tblGridChange w:id="0">
          <w:tblGrid>
            <w:gridCol w:w="1093"/>
            <w:gridCol w:w="2647"/>
            <w:gridCol w:w="2780"/>
            <w:gridCol w:w="2546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mini-wykład,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Prezentacja/praca pisemna/test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prezentacją/ tekst pracy pisemnej/ wypełniony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mini-wykład,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Prezentacja/praca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prezentacją/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mini-wykład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Prezentacja/praca pisemna/test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prezentacją/ tekst pracy pisemnej/ wypełniony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mini-wykład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Prezentacja/praca pisemna/test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prezentacją/ tekst pracy pisemnej/ wypełniony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Prezentacja/praca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prezentacją/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Prezentacja/praca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prezentacją/ tekst pracy pisemnej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VI.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na podstawie testu pisemnego pod koniec semestru (45% oceny końcowej) oraz prezentacji ustnej (</w:t>
      </w:r>
      <w:r w:rsidDel="00000000" w:rsidR="00000000" w:rsidRPr="00000000">
        <w:rPr>
          <w:sz w:val="22"/>
          <w:szCs w:val="22"/>
          <w:rtl w:val="0"/>
        </w:rPr>
        <w:t xml:space="preserve">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 oceny końcowej) w trakcie semestru. </w:t>
      </w:r>
      <w:r w:rsidDel="00000000" w:rsidR="00000000" w:rsidRPr="00000000">
        <w:rPr>
          <w:sz w:val="22"/>
          <w:szCs w:val="22"/>
          <w:rtl w:val="0"/>
        </w:rPr>
        <w:t xml:space="preserve">Pozostałe 10% oceny końcowej stanowi aktywny udział w dyskusjach oraz przygotowanie do zajęć (czytanie i oglądanie zadanego wcześniej materiału).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Test semestralny obejmuje materiał omawiany na zajęciach oraz materiał do zapoznania się w ramach pracy indywidualnej. Materiał do pracy indywidualnej obejmuje przykłady różnych tekstów kultury </w:t>
      </w:r>
      <w:r w:rsidDel="00000000" w:rsidR="00000000" w:rsidRPr="00000000">
        <w:rPr>
          <w:sz w:val="22"/>
          <w:szCs w:val="22"/>
          <w:rtl w:val="0"/>
        </w:rPr>
        <w:t xml:space="preserve">zadane z odpowiednim wyprzedzeniem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(np film, opowiadanie, dzieło muzyczne lub wizualne). Test uznaje się za zaliczony po udzieleniu co najmniej 60% poprawnych odpowiedzi. Prezentacja polega na studium przypadku, do której studenci muszą wykorzystać materiał teoretyczny omawiany podczas kursu.</w:t>
      </w:r>
      <w:r w:rsidDel="00000000" w:rsidR="00000000" w:rsidRPr="00000000">
        <w:rPr>
          <w:sz w:val="22"/>
          <w:szCs w:val="22"/>
          <w:rtl w:val="0"/>
        </w:rPr>
        <w:t xml:space="preserve"> Kilkuminutowa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rezentacja powinna być </w:t>
      </w:r>
      <w:r w:rsidDel="00000000" w:rsidR="00000000" w:rsidRPr="00000000">
        <w:rPr>
          <w:sz w:val="22"/>
          <w:szCs w:val="22"/>
          <w:rtl w:val="0"/>
        </w:rPr>
        <w:t xml:space="preserve">opracowana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samodzielnie w oparciu o źródła </w:t>
      </w:r>
      <w:r w:rsidDel="00000000" w:rsidR="00000000" w:rsidRPr="00000000">
        <w:rPr>
          <w:sz w:val="22"/>
          <w:szCs w:val="22"/>
          <w:rtl w:val="0"/>
        </w:rPr>
        <w:t xml:space="preserve">uwzględnione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przez studenta</w:t>
      </w:r>
      <w:r w:rsidDel="00000000" w:rsidR="00000000" w:rsidRPr="00000000">
        <w:rPr>
          <w:sz w:val="22"/>
          <w:szCs w:val="22"/>
          <w:rtl w:val="0"/>
        </w:rPr>
        <w:t xml:space="preserve"> w bibliografii. W przypadku pracy niesamodzielnej (plagiatu), student otrzymuje ocenę niedostateczną z prezentacji, bez możliwości poprawy. W prezentacji oceniania jest forma i treść, czyli poprawność językowa, płynność wypowiedzi, zgodność tematu prezentacji z treścią zajęć, wykorzystanie omawianych treści teoretycznych oraz oryginalność/kreatywność w podejściu do prezentowanego zagadnienia.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 konsekwencji dozwolone są dwie nieusprawiedliwione nieobecności na zajęciach.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VII.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3"/>
        <w:tblGridChange w:id="0">
          <w:tblGrid>
            <w:gridCol w:w="4538"/>
            <w:gridCol w:w="452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VIII.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  <w:r w:rsidDel="00000000" w:rsidR="00000000" w:rsidRPr="00000000">
        <w:rPr>
          <w:rtl w:val="0"/>
        </w:rPr>
      </w:r>
    </w:p>
    <w:tbl>
      <w:tblPr>
        <w:tblStyle w:val="Table10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Bredekamp, Horst.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Lure of Antiquity and the Cult of the Machine: The Kunstkammer and the Evolution of Nature, Art and Technology.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Trans. Allison Brown. Princeton: Markus Wiener Publishers, 1995.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Davis, John; Greenhill, Jennifer A.; LaFountain, Jason David,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Companion to American Art.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Wiley-Blackwell, 2015.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Elleström, Lars.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Borders, Multimodality and Intermediality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Palgrave Macmillan, 2010.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Jenkins, Henry.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Convergence Culture: Where Old and New Media Collide.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York UP, 2006.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Kirschenbaum, Matthew 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Mechanisms: New Media and the Forensic Imagination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The MIT Press, 2008.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Lewis, Robert. “Tableaux vivants: Parlor Theatricals in Victorian America.” Revue Française d'Etudes Américaines 36 (1988): 280-291.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Smith, Matthew Wilson.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Work of Art: From Bayreuth to Cyberspace.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Routledge, 2007.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 (ws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zelkie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dodatkowe materiały zostaną dostarczone przez prowadzącą)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Doss, Erika Lee.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Twentieth-Century American Art.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UP, 2002.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Elbert, Monika M.“Striking a Historical Pose: Antebellum Tableaux Vivants,'Godey's' Illustrations, and Margaret Fuller's Heroines.”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New England Quarterly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75.2 (2002): 235-275.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Groseclose, Barbara.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Nineteenth-Century American Art.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UP, 2000.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Hooper-Greenhill, Eilean.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Museums and the Shaping of Knowledge.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London &amp; New York: Routledge, 1992.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Glessner Lee, Frances.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Nutshell Studies of Unexplained Death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jc w:val="right"/>
      <w:rPr>
        <w:i w:val="1"/>
        <w:sz w:val="22"/>
        <w:szCs w:val="22"/>
      </w:rPr>
    </w:pPr>
    <w:r w:rsidDel="00000000" w:rsidR="00000000" w:rsidRPr="00000000">
      <w:rPr>
        <w:i w:val="1"/>
        <w:sz w:val="22"/>
        <w:szCs w:val="22"/>
        <w:rtl w:val="0"/>
      </w:rPr>
      <w:t xml:space="preserve">Załącznik nr. 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" w:customStyle="1">
    <w:name w:val="Body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A" w:customStyle="1">
    <w:name w:val="Table Style 2 A"/>
    <w:rPr>
      <w:rFonts w:ascii="Helvetica Neue" w:cs="Arial Unicode MS" w:hAnsi="Helvetica Neue"/>
      <w:color w:val="000000"/>
      <w:u w:color="ffffff"/>
    </w:rPr>
  </w:style>
  <w:style w:type="paragraph" w:styleId="BodyA" w:customStyle="1">
    <w:name w:val="Body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v1msonormal" w:customStyle="1">
    <w:name w:val="v1msonormal"/>
    <w:pPr>
      <w:spacing w:after="200"/>
    </w:pPr>
    <w:rPr>
      <w:rFonts w:ascii="Calibri" w:cs="Calibri" w:eastAsia="Calibri" w:hAnsi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E6423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opka">
    <w:name w:val="footer"/>
    <w:basedOn w:val="Normalny"/>
    <w:link w:val="StopkaZnak"/>
    <w:uiPriority w:val="99"/>
    <w:unhideWhenUsed w:val="1"/>
    <w:rsid w:val="009A40E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9A40EA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i1I81XMHu4capjY50m1BzfXcQ==">AMUW2mVlkktABLT/J4wehB63hCaIMNRRDudDm3pIlvQ+Ed5faJhxWjl9IZpSHPEOEoktRMrUCZ6VJtv1PUKCqTqf0ssAzHTH+WR+RKNZVga5oauTsI7FjLJKMkDW2m/WEtc7Fyy1ISMd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2021-09-17T06:49:00Z</dcterms:created>
</cp:coreProperties>
</file>