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355.0" w:type="dxa"/>
        <w:jc w:val="left"/>
        <w:tblInd w:w="3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222"/>
        <w:gridCol w:w="5133"/>
        <w:tblGridChange w:id="0">
          <w:tblGrid>
            <w:gridCol w:w="4222"/>
            <w:gridCol w:w="513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Narzędzia cyfrowe w językoznawstwie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Digital tools in linguistics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35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91"/>
        <w:gridCol w:w="4965"/>
        <w:tblGridChange w:id="0">
          <w:tblGrid>
            <w:gridCol w:w="4391"/>
            <w:gridCol w:w="496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Wojciech Guz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9.0" w:type="dxa"/>
        <w:jc w:val="left"/>
        <w:tblInd w:w="35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90"/>
        <w:gridCol w:w="2303"/>
        <w:gridCol w:w="2303"/>
        <w:gridCol w:w="2303"/>
        <w:tblGridChange w:id="0">
          <w:tblGrid>
            <w:gridCol w:w="2490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ind w:left="245" w:hanging="24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99.0" w:type="dxa"/>
        <w:jc w:val="left"/>
        <w:tblInd w:w="35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22"/>
        <w:gridCol w:w="6977"/>
        <w:tblGridChange w:id="0">
          <w:tblGrid>
            <w:gridCol w:w="2422"/>
            <w:gridCol w:w="6977"/>
          </w:tblGrid>
        </w:tblGridChange>
      </w:tblGrid>
      <w:tr>
        <w:trPr>
          <w:cantSplit w:val="0"/>
          <w:trHeight w:val="11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Poziom znajomości języka angielskiego przynajmniej C1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oraz </w:t>
            </w:r>
            <w:r w:rsidDel="00000000" w:rsidR="00000000" w:rsidRPr="00000000">
              <w:rPr>
                <w:rFonts w:ascii="Arimo" w:cs="Arimo" w:eastAsia="Arimo" w:hAnsi="Arimo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ogólna wiedza oraz terminologia językoznawcza zdobyta w ramach wcześniejszych kursów studiów I stopnia oraz pierwszego roku studiów II stopnia.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399.0" w:type="dxa"/>
        <w:jc w:val="left"/>
        <w:tblInd w:w="35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99"/>
        <w:tblGridChange w:id="0">
          <w:tblGrid>
            <w:gridCol w:w="9399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Zapoznanie się z możliwościami, jakie daje badaczom komputer oraz odpowiednie oprogramowanie w językoznawstwie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Wypracowanie umiejętności własnej wnikliwej analizy i interpretacji danych (pomocnej także w przygotowaniu pracy magisterskiej)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Wypracowanie umiejętności weryfikowania tez i hipotez językoznawczych nieznajdujących empirycznego potwierdzenia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11.0" w:type="dxa"/>
        <w:jc w:val="left"/>
        <w:tblInd w:w="35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95"/>
        <w:gridCol w:w="5516"/>
        <w:gridCol w:w="2100"/>
        <w:tblGridChange w:id="0">
          <w:tblGrid>
            <w:gridCol w:w="1195"/>
            <w:gridCol w:w="5516"/>
            <w:gridCol w:w="2100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miejsce językoznawstwa korpusowego w relacji do językoznawstwa i innych dyscyplin humanistycznych. Wymienia szkoły/podejścia w dziedzinie językoznawstwa i zestawia wraz z nimi językoznawstwo korpusowe wraz ze stosownym oprogramowaniem.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stosuje zaawansowane metody analizy i interpretacji różnych tekstów korpusowych.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 identyfikuje główne kierunki rozwoju i najważniejsze osiągnięcia w zakresie językoznawstwa korpusowego.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wyszukuje odpowiednie informacje wykorzystując umiejętność selekcjonowania danych korpusowych i odpowiednich narzędzi cyfrowych; informacje te następnie analizuje i interpretuje wyciągając wnioski na temat natury języka angielskiego i języka w ogóle, również prowadząc dyskusję na tej podstawie z innymi studentami.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językowe w rozwiązywaniu prostych problemów badawczych z zakresu  językoznawstwa korpusowego właściwie dobierając i przystosowując istniejące metody i narzędzia badawcze lub opracowując nowe.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 przygotowuje wypowiedź ustną i pisemną w języku angielskim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z wykorzystaniem różnych kanałów i technik komunikacyjnych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, także z użyciem prezentacji multimedialnych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technik audiowizualnych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, bazując na mini-projektach wykonanych w ramach kursu.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wybiera problem badawczy z dziedziny językoznawstwa, wybiera metodę, przeprowadza badania oraz opracowuje wnioski; efekty pracy własnej przedstawia syntezując informacje z badań innych autorów.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45" w:right="0" w:hanging="2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7"/>
        <w:tblW w:w="8745.0" w:type="dxa"/>
        <w:jc w:val="left"/>
        <w:tblInd w:w="4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45"/>
        <w:tblGridChange w:id="0">
          <w:tblGrid>
            <w:gridCol w:w="8745"/>
          </w:tblGrid>
        </w:tblGridChange>
      </w:tblGrid>
      <w:tr>
        <w:trPr>
          <w:cantSplit w:val="0"/>
          <w:trHeight w:val="52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Zapoznanie się z interfejsem, opcjami i ustawieniami zapytań w narzędziach dostępnych on-line. Pierwsze próby samodzielnego poruszania się pośród danych korpusowych oraz wykorzystanie stosownego oprogramowania.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Diachroniczne zmiany językowe (zmiany semantyczne; słowa/wyrażenia, które wypadły z użycia; słowa/wyrażenia stosunkowo nowe)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Częstotliwość występowania słów / fraz / konstrukcji gramatycznych i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interpretacja danych ilościowych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4-5. Wariantywność w języku: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a) morfologia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b) leksyka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c) składnia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6-7. Dystrybucja słów/ fraz/konstrukcji gramatycznych w różnych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rejestrach/dialektach języka angielskiego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90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90"/>
        <w:tblGridChange w:id="0">
          <w:tblGrid>
            <w:gridCol w:w="8890"/>
          </w:tblGrid>
        </w:tblGridChange>
      </w:tblGrid>
      <w:tr>
        <w:trPr>
          <w:cantSplit w:val="0"/>
          <w:trHeight w:val="3585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8-9.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none"/>
                <w:rtl w:val="0"/>
              </w:rPr>
              <w:t xml:space="preserve">Co-occurrence patterns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a) leksykalne </w:t>
            </w:r>
            <w:r w:rsidDel="00000000" w:rsidR="00000000" w:rsidRPr="00000000">
              <w:rPr>
                <w:rFonts w:ascii="Arimo" w:cs="Arimo" w:eastAsia="Arimo" w:hAnsi="Arimo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b) leksykalno-gramatyczne </w:t>
            </w:r>
            <w:r w:rsidDel="00000000" w:rsidR="00000000" w:rsidRPr="00000000">
              <w:rPr>
                <w:rFonts w:ascii="Arimo" w:cs="Arimo" w:eastAsia="Arimo" w:hAnsi="Arimo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c) gramatyczne </w:t>
            </w:r>
            <w:r w:rsidDel="00000000" w:rsidR="00000000" w:rsidRPr="00000000">
              <w:rPr>
                <w:rFonts w:ascii="Arimo" w:cs="Arimo" w:eastAsia="Arimo" w:hAnsi="Arimo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d) poza-językowe: rejestry, dialekty</w:t>
            </w:r>
          </w:p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10-12. Użycie programu AntConc; gromadzenie własnej bazy tekstów oraz wykorzystanie jej do analizy językoznawczej (język angielski oraz polski); analogiczne narzędzie online - Korpusomat</w:t>
            </w:r>
          </w:p>
          <w:p w:rsidR="00000000" w:rsidDel="00000000" w:rsidP="00000000" w:rsidRDefault="00000000" w:rsidRPr="00000000" w14:paraId="00000085">
            <w:pPr>
              <w:tabs>
                <w:tab w:val="left" w:pos="1746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pos="1746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13-15. Zaliczenie pracy semestralnej – prezentacje studentów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9"/>
        <w:tblW w:w="9066.000000000002" w:type="dxa"/>
        <w:jc w:val="left"/>
        <w:tblInd w:w="35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230"/>
        <w:gridCol w:w="2566"/>
        <w:gridCol w:w="2703"/>
        <w:gridCol w:w="2567"/>
        <w:tblGridChange w:id="0">
          <w:tblGrid>
            <w:gridCol w:w="1230"/>
            <w:gridCol w:w="2566"/>
            <w:gridCol w:w="2703"/>
            <w:gridCol w:w="2567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burza mózgów/giełda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burza mózgów/giełda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burza mózgów/giełda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burza mózgów/giełda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burza mózgów/giełda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prezentacja semestralna; burza mózgów/giełda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korpusowym; studium przypadku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(case study); miniwykład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wprowadzający; dyskusja; prezentacja semestralna; burza mózgów/giełda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praktycznych; obserwacja; odpowiedź ustna w czasie zajęć sprawdzająca wiedzę praktyczną; sprawdzenie pracy domowej; prezentacja semestralna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tekstu pracy domowej; prezentacja multimedialna w postaci slajdów; 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Głównym kryterium oceny jest wynik zaliczeniowej prezentacji multimedialnej przedstawionej na koniec semestru. Prowadzący zajęcia bierze również pod uwagę zaangażowanie studenta na zajęciach, odpowiedzi indywidualne, pracę w grupach/parach oraz wykonanie prac domowych.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Waga procentowa poszczególnych komponentów: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70% - prezentacja zaliczeniowa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30% - zaangażowanie na zajęciach, praca w grupach, wykonywanie prac domowych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      Obciążenie pracą studenta</w:t>
      </w:r>
      <w:r w:rsidDel="00000000" w:rsidR="00000000" w:rsidRPr="00000000">
        <w:rPr>
          <w:rtl w:val="0"/>
        </w:rPr>
      </w:r>
    </w:p>
    <w:tbl>
      <w:tblPr>
        <w:tblStyle w:val="Table10"/>
        <w:tblW w:w="9399.0" w:type="dxa"/>
        <w:jc w:val="left"/>
        <w:tblInd w:w="35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93"/>
        <w:gridCol w:w="4606"/>
        <w:tblGridChange w:id="0">
          <w:tblGrid>
            <w:gridCol w:w="4793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399.0" w:type="dxa"/>
        <w:jc w:val="left"/>
        <w:tblInd w:w="35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99"/>
        <w:tblGridChange w:id="0">
          <w:tblGrid>
            <w:gridCol w:w="939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Brak (praca na zajęciach w oparciu o narzędzia i korpusy dostępne online)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Biber, Douglas, Susan Conrad and Randi Reppen (1998)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none"/>
                <w:rtl w:val="0"/>
              </w:rPr>
              <w:t xml:space="preserve">Corpus Linguistics. Investigating Language Structure and 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. Cambridge: Cambridge University Press. </w:t>
            </w:r>
            <w:r w:rsidDel="00000000" w:rsidR="00000000" w:rsidRPr="00000000">
              <w:rPr>
                <w:rFonts w:ascii="Arimo" w:cs="Arimo" w:eastAsia="Arimo" w:hAnsi="Arimo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O'Keeffe, Anne, Michael McCarthy, Ronald Carter (2007 )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none"/>
                <w:rtl w:val="0"/>
              </w:rPr>
              <w:t xml:space="preserve">From Corpus to Classroom: Language Use and Language Teaching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. Cambridge University Press.</w:t>
            </w:r>
            <w:r w:rsidDel="00000000" w:rsidR="00000000" w:rsidRPr="00000000">
              <w:rPr>
                <w:rFonts w:ascii="Arimo" w:cs="Arimo" w:eastAsia="Arimo" w:hAnsi="Arimo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Kennedy, Graeme (1998)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none"/>
                <w:rtl w:val="0"/>
              </w:rPr>
              <w:t xml:space="preserve">An Introduction to Corpus Linguistics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. London and New York: Longman.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widowControl w:val="0"/>
        <w:spacing w:line="240" w:lineRule="auto"/>
        <w:ind w:left="36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jc w:val="right"/>
      <w:rPr>
        <w:i w:val="1"/>
      </w:rPr>
    </w:pPr>
    <w:r w:rsidDel="00000000" w:rsidR="00000000" w:rsidRPr="00000000">
      <w:rPr>
        <w:i w:val="1"/>
        <w:rtl w:val="0"/>
      </w:rPr>
      <w:t xml:space="preserve">Załącznik nr. 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 w:val="1"/>
    <w:rsid w:val="004C604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C604D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table" w:styleId="Tabela-Siatka">
    <w:name w:val="Table Grid"/>
    <w:basedOn w:val="Standardowy"/>
    <w:uiPriority w:val="59"/>
    <w:rsid w:val="004C604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s7pdpbg2Xgnx8YHafmNqngoYGg==">AMUW2mVFWMVePeDm88rr38GLtH1t93HKHZ6BTGhZTkUv6XLXPC/K2131Zrre4Yj+AvA+hd3WnB9k3MKAIl+/GrlUqYwEjDd2tYW0T+pZw14Fw71foWB+Sb7LeU0Ky/OjBvRzp7vtCV/b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2021-09-22T11:53:00Z</dcterms:created>
</cp:coreProperties>
</file>