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22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746"/>
        <w:tblGridChange w:id="0">
          <w:tblGrid>
            <w:gridCol w:w="4474"/>
            <w:gridCol w:w="47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Medialne poszukiwania literatury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Searching for literature through the media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8" w:right="0" w:hanging="1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Łukasz Borowiec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1.Poszerzona znajomość literatury anglojęzycznej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Dobre umiejętności analizy i interpretacji tekstu literackiego (terminologia, zasady interpretacji, itp.).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Pogłębienie wiedzy na temat zagadnień związanych z relacjami między literaturą anglojęzyczną i szeroko rozumianymi mediami.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Przyswojenie anglojęzycznej terminologii używanej do opisu zagadnień związanych z relacjami między literaturą anglojęzyczną i szeroko rozumianymi mediami.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Pogłębienie umiejętności analizy nowych zjawisk literackich i humanistycznych.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Poznanie wybranych tekstów z zakresu krytyki literackiej dot. zagadnień związanych z relacjami między literaturą anglojęzyczną i szeroko rozumianymi mediami.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0"/>
        <w:gridCol w:w="5685"/>
        <w:gridCol w:w="2331"/>
        <w:tblGridChange w:id="0">
          <w:tblGrid>
            <w:gridCol w:w="1050"/>
            <w:gridCol w:w="5685"/>
            <w:gridCol w:w="2331"/>
          </w:tblGrid>
        </w:tblGridChange>
      </w:tblGrid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i opisuje wybrane fakty i zjawiska związane z relacjami między literaturą anglojęzyczną i szeroko rozumianymi mediami.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K_W04, K_W07 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i opisuje terminologię używaną do opisu zjawisk związanych z relacjami między literaturą anglojęzyczną i szeroko rozumianymi mediami.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K_W04, K_W07 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i przedstawia metody analizy i interpretacji zjawisk związanych z relacjami między literaturą anglojęzyczną i szeroko rozumianymi mediami.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K_W04, K_W07, K_W08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stosuje odpowiednie metody i narzędzia badawcze oraz terminologię w celu analizy i interpretacji utworów literackich i tekstów krytycznoliterackich w relacji do szeroko rozumianych mediów.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K_U07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wykorzystuje zróżnicowane kanały i techniki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komunikacyjne w celu analizy i interpretacji zjawisk i zagadnień dotyczących utworów literackich i tekstów krytycznoliterackich w relacji do szeroko rozumianych mediów.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K_U07</w:t>
            </w:r>
          </w:p>
        </w:tc>
      </w:tr>
      <w:tr>
        <w:trPr>
          <w:cantSplit w:val="0"/>
          <w:trHeight w:val="12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dyskutuje oraz organizuje zadania w grupach i zespołach w celu analizy i interpretacji zjawisk i zagadnień dotyczących utworów literackich i tekstów krytycznoliterackich w relacji do szeroko rozumianych mediów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K_U07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0"/>
        <w:gridCol w:w="5685"/>
        <w:gridCol w:w="2331"/>
        <w:tblGridChange w:id="0">
          <w:tblGrid>
            <w:gridCol w:w="1050"/>
            <w:gridCol w:w="5685"/>
            <w:gridCol w:w="233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krytycznie omawia i ocenia wytwory literatury anglojęzycznej w powiązaniu z szeroko rozumianymi mediami.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 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jest zorientowany na kształtowanie własnej świadomości w kontekście związków literatury anglojęzycznej z szeroko pojętymi zjawiskami medialnymi w kulturze europejskiej i światowej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8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80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Ponieważ celem kursu jest reagowanie na najnowsze zjawiska w obrębie relacji między literaturą anglojęzyczną a mediami, możliwe są zmiany w rozkładzie zajęć uwzględniające bieżące potrzeby oraz liczebność grupy.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Intro class; requirements, outline (incl. technical aspects)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 Literary research and other media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Digital humanities – introduction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Discussion on digital humanities projects chosen by the student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Digital storytelling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Harold Pinter's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Betrayal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discussion on the play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Theatre programmes of Pinter's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Betrayal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theory and analysis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Arthur Miller's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Death of a Salesman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discussion on the play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Theatre posters of Miller's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Death of a Salesman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theory and analysis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Theatre on screen: theory and analysis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Television theatre - theoretical approaches and example plays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Television theatre - analysis of plays selected by students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Tennessee Williams’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Glass Menagerie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combining all discussed issues in one play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 End-of-semester presentations part 1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 End-of-semester presentations part 2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End-of-semester presentations part 3; Summary of the course; final thoughts on literature in the digital age</w:t>
            </w:r>
          </w:p>
        </w:tc>
      </w:tr>
    </w:tbl>
    <w:p w:rsidR="00000000" w:rsidDel="00000000" w:rsidP="00000000" w:rsidRDefault="00000000" w:rsidRPr="00000000" w14:paraId="00000095">
      <w:pPr>
        <w:widowControl w:val="0"/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9"/>
        <w:tblW w:w="9220.0" w:type="dxa"/>
        <w:jc w:val="left"/>
        <w:tblInd w:w="47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698"/>
        <w:tblGridChange w:id="0">
          <w:tblGrid>
            <w:gridCol w:w="1083"/>
            <w:gridCol w:w="2649"/>
            <w:gridCol w:w="2790"/>
            <w:gridCol w:w="2698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</w:p>
        </w:tc>
      </w:tr>
      <w:tr>
        <w:trPr>
          <w:cantSplit w:val="0"/>
          <w:trHeight w:val="1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</w:p>
        </w:tc>
      </w:tr>
      <w:tr>
        <w:trPr>
          <w:cantSplit w:val="0"/>
          <w:trHeight w:val="16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tekstu/materiału audiowizualnego / Dyskusja / Praca indywidualna / Praca zespołowa / praca w grupie / Studium przypadku (case study)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 /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/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Przygotowanie i wykonanie projektu / Prezentacja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</w:p>
        </w:tc>
      </w:tr>
      <w:tr>
        <w:trPr>
          <w:cantSplit w:val="0"/>
          <w:trHeight w:val="25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tekstu/materiału audiowizualnego / Dyskusja / Praca indywidualna / Praca zespołowa / praca w grupie / Studium przypadku (case study)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 /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/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Przygotowanie i wykonanie projektu / Prezentacja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</w:p>
        </w:tc>
      </w:tr>
      <w:tr>
        <w:trPr>
          <w:cantSplit w:val="0"/>
          <w:trHeight w:val="25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tekstu/materiału audiowizualnego / Dyskusja / Praca indywidualna / Praca zespołowa / praca w grupie / Studium przypadku (case study)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 /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sprawdzająca wiedzę praktyczną /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Przygotowanie i wykonanie projektu / Prezentacja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Karta oceny prezentacji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w różnych rolach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Obserwacja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</w:t>
            </w:r>
          </w:p>
        </w:tc>
      </w:tr>
      <w:tr>
        <w:trPr>
          <w:cantSplit w:val="0"/>
          <w:trHeight w:val="7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w różnych rolach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</w:t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D9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Liczba dozwolonych nieobecności: 3.</w:t>
      </w:r>
    </w:p>
    <w:p w:rsidR="00000000" w:rsidDel="00000000" w:rsidP="00000000" w:rsidRDefault="00000000" w:rsidRPr="00000000" w14:paraId="000000DB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36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Podstawowe kryteria oceny to aktywne uczestnictwo w zajęciach, na które składa się realizacja mini-projektów/zadań w trakcie semestru oraz kończąca semestr prezentacja (może ona przybrać trzy formy: prezentacji tradycyjnej, projektu z zakresu humanistyki cyfrowej lub projektu z dziedziny digital storytelling), która podsumowuje zdobytą wiedzę, umiejętności i kompetencje studentów. Obydwa komponenty ważą: 60% - udział w zajęciach i realizacja zadań, 40% - końcowa prezentacja/projekt. Szczegółowe kryteria oceny każdej z trzech możliwych opcji zadania końcowego przedstawia prowadzący.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52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Barber, John F. "Digital Storytelling. New Opportunities for Humanities Scholarship and Pedagogy." Cogent Arts &amp; Humanities 3 (2016).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Bay-Cheng, Sarah. "Theatre Squared: Theatre History in the Age of Media." Theatre Topics 17.1 (2007): 37-50.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Caplan, Debra. "Notes from the Frontier: Digital Scholarship and the Future of Theatre Studies." Theatre Journal 67.2 (2015): 347-359.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EADH-https://eadh.org/projects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Ehses, Hanno H. J. “Representing Macbeth: A Case Study in Visual Rhetoric.”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Issues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Vol. 1, No. 1 (Spring, 1984), pp. 53-63.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Gowen, David Robert. Studies in the History and Function of the British Theatre Playbill and Programme 1564-1914. Vol. 1. PhD thesis, 1998.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Miller, Arthur.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Death of a Salesman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Pinter, Harold.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Betrayal.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Price, Charles Matlack.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Poster Design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New York City: George W. Bricka, 1922.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Rak, Dorota. "Programy Teatru Witkacego w perspektywie bibliologicznej." Toruńskie Studia Bibliologiczne 2.15 (2015): 95-111.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Rudzińska, Agata. "Od teatru do telewizji i internetu - rzecz o teatrze telewizji." POSTSCRIPTUM POLONISTYCZNE 2.14 (2014): 261-277.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Schöch, Christof. "Big? Smart? Clean? Messy? Data in the Humanities." Journal of Digital Humanities 2.3 (2013).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Wu, Pei-ying. "A Critical Analysis of Theatre Posters." Thesis, 1997.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Materiały przygotowane przez prowadzącego.</w:t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1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58" w:hanging="157.99999999999977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56" w:hanging="156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" w:customStyle="1">
    <w:name w:val="Nagłówek1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Normalny1" w:customStyle="1">
    <w:name w:val="Normalny1"/>
    <w:rPr>
      <w:rFonts w:cs="Arial Unicode MS"/>
      <w:color w:val="000000"/>
      <w:sz w:val="24"/>
      <w:szCs w:val="24"/>
      <w:u w:color="000000"/>
      <w:lang w:val="en-US"/>
    </w:rPr>
  </w:style>
  <w:style w:type="paragraph" w:styleId="Default" w:customStyle="1">
    <w:name w:val="Default"/>
    <w:rPr>
      <w:rFonts w:ascii="Helvetica Neue" w:cs="Helvetica Neue" w:eastAsia="Helvetica Neue" w:hAnsi="Helvetica Neue"/>
      <w:color w:val="000000"/>
      <w:sz w:val="22"/>
      <w:szCs w:val="22"/>
      <w:u w:color="000000"/>
      <w:lang w:val="es-ES_tradnl"/>
    </w:r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styleId="ImportedStyle3" w:customStyle="1">
    <w:name w:val="Imported Style 3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 w:val="1"/>
    <w:rsid w:val="00FA678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FA678D"/>
    <w:rPr>
      <w:rFonts w:eastAsia="Times New Roman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FA678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FA678D"/>
    <w:rPr>
      <w:rFonts w:eastAsia="Times New Roman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buBlgQo4aWONJnebQexJ9+axIA==">AMUW2mWZXaSGTo+8KW/qF6+2IqzoQgYpHzoqB2QABR96/KfwMeannQGn2zHMU9PopGXnB+ejQzeSfRIQWn8N0rCvsNcy5ouGMiRykSVJ/7qfVNtU0122xyhDIjeASpGoGaX94GDidjtu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2021-09-22T12:56:00Z</dcterms:created>
</cp:coreProperties>
</file>