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Tłumaczenie ustne w zakresie wybranych dziedzin komunikacji specjalistycznej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Interpreting in selected specialized domains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 (magisterskie)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mgr Joanna Mirek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1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Praktyczna znajomość języka angielskiego (C1/C2)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Zaawansowana znajomość języka polskiego (C1)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Umiejętność tłumaczenia konsekutywnego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Zaawansowane umiejętności wyszukiwania informacji </w:t>
            </w:r>
          </w:p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 niezbędne w procesie tłumaczenia pisemnego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20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C1 Nabycie umiejętności tłumaczenia symultanicznego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C2 Nabycie umiejętności analizy oraz streszczenia w języku ojczystym i obcym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C3 Umiejętność pracy w różnych zakresach tematycznych w języku ojczystym i obcym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C4 Wstępne przygotowanie do pracy tłumacza ustnego w zakresie wybranych dziedzin komunikacji specjalistycznej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C5 Wyposażenie uczestników w narzędzia samoregulacji i dalszego samokształcenia do pracy tłumacza ustnego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20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5858"/>
        <w:gridCol w:w="2261"/>
        <w:tblGridChange w:id="0">
          <w:tblGrid>
            <w:gridCol w:w="1083"/>
            <w:gridCol w:w="5858"/>
            <w:gridCol w:w="2261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identyfikuje techniki tłumaczeniowe w różnych rodzajach tekstów i zadaniach translacyjnych w odniesieniu do przekładu symultanicznego.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używa właściwych technik przekładu różnych tekstów o charakterze ogólnym i specjalistycznym.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wybiera właściwe strategie tłumaczeniowe na podstawie samodzielnie przeprowadzonej analizy tekstu.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komunikuje się przy wykorzystaniu terminologii specjalistycznej za pomocą różnych kanałów komunikacyjnych.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zachowuje krytycyzm wobec jakości własnego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tłumaczenia, swoich umiejętności i wiedzy merytorycznej.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angażuje się w pogłębianie wiedzy i rozwój kompetencji językowych w kontekście tłumaczenia ustnego.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pracuje w zespole tłumaczeniowym w różnych rolach (tłumacz, mówca, adresat tłumaczenia).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24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24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59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Proces tłumaczenia ustnego - co o nim wiemy? Czym jest tłumaczenie symultaniczne? Czym różni się od tłumaczenia konsekutywnego? </w:t>
            </w:r>
          </w:p>
          <w:p w:rsidR="00000000" w:rsidDel="00000000" w:rsidP="00000000" w:rsidRDefault="00000000" w:rsidRPr="00000000" w14:paraId="00000085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Zasoby poznawcze angażowane w proces tłumaczenia ustnego. </w:t>
            </w:r>
          </w:p>
          <w:p w:rsidR="00000000" w:rsidDel="00000000" w:rsidP="00000000" w:rsidRDefault="00000000" w:rsidRPr="00000000" w14:paraId="00000086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Wprawki - ćwiczenia wdrażające: shadowing, code-switching, cloze tasks, dual tasks itp. </w:t>
            </w:r>
          </w:p>
          <w:p w:rsidR="00000000" w:rsidDel="00000000" w:rsidP="00000000" w:rsidRDefault="00000000" w:rsidRPr="00000000" w14:paraId="00000087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Ćwiczenia praktyczne - etap I: materiały audio, zmiany kierunku tłumaczenia, obserwacja procesów, auto-ewaluacja uczestników (portfolio). </w:t>
            </w:r>
          </w:p>
          <w:p w:rsidR="00000000" w:rsidDel="00000000" w:rsidP="00000000" w:rsidRDefault="00000000" w:rsidRPr="00000000" w14:paraId="00000088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Ćwiczenia praktyczne - etap II: materiały AV, zmiany kierunku tłumaczenia, zaawansowana obserwacja procesów (nagrywanie), auto-ewaluacja i praca własna (nagrywanie) uczestników </w:t>
            </w:r>
          </w:p>
          <w:p w:rsidR="00000000" w:rsidDel="00000000" w:rsidP="00000000" w:rsidRDefault="00000000" w:rsidRPr="00000000" w14:paraId="00000089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Ćwiczenia praktyczne - etap III: materiały AV oraz symulowane wystąpienia konferencyjne, praktyki obserwacyjne, praca w parach, ewaluacja grupowa </w:t>
            </w:r>
          </w:p>
          <w:p w:rsidR="00000000" w:rsidDel="00000000" w:rsidP="00000000" w:rsidRDefault="00000000" w:rsidRPr="00000000" w14:paraId="0000008A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Imitowanie realnej sytuacji zawodowej: przygotowanie do określonego zagadnienia (praca z glosariuszem), przekazywanie sobie tłumaczenia w parze </w:t>
            </w:r>
          </w:p>
          <w:p w:rsidR="00000000" w:rsidDel="00000000" w:rsidP="00000000" w:rsidRDefault="00000000" w:rsidRPr="00000000" w14:paraId="0000008B">
            <w:pPr>
              <w:spacing w:after="20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Nagrywanie się i odsłuchiwanie własnych tłumaczeń - indywidualnie, w parach oraz przez prowadzącego plus feedback na podstawie arkusza dostarczonego przez prowadzącego (ze wskazówkami dalszego rozwoju umiejętności)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213.0" w:type="dxa"/>
        <w:jc w:val="left"/>
        <w:tblInd w:w="52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9"/>
        <w:gridCol w:w="2646"/>
        <w:gridCol w:w="2778"/>
        <w:gridCol w:w="2900"/>
        <w:tblGridChange w:id="0">
          <w:tblGrid>
            <w:gridCol w:w="889"/>
            <w:gridCol w:w="2646"/>
            <w:gridCol w:w="2778"/>
            <w:gridCol w:w="2900"/>
          </w:tblGrid>
        </w:tblGridChange>
      </w:tblGrid>
      <w:tr>
        <w:trPr>
          <w:cantSplit w:val="0"/>
          <w:trHeight w:val="9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213.0" w:type="dxa"/>
        <w:jc w:val="left"/>
        <w:tblInd w:w="52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9"/>
        <w:gridCol w:w="2646"/>
        <w:gridCol w:w="2778"/>
        <w:gridCol w:w="2900"/>
        <w:tblGridChange w:id="0">
          <w:tblGrid>
            <w:gridCol w:w="889"/>
            <w:gridCol w:w="2646"/>
            <w:gridCol w:w="2778"/>
            <w:gridCol w:w="290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widowControl w:val="0"/>
        <w:tabs>
          <w:tab w:val="left" w:pos="70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-57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podlega ewaluacji na bieżąco. Oceniana jest aktywność na zajęciach i przygotowanie do zajęć (przygotowanie ustne i tłumaczenie ustne newsów, przemówień na wybrane tematy, nagranych wcześniej przemówień, przygotowanie glosariuszy), stopień zaawansowania i poprawności językowej i postęp w tłumaczeniu ustnym. 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-57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jest kompletne wypełnienie i przesłanie portfolio tłumaczeniowego (mającego na celu auto-ewaluację postępów studenta) według instrukcji prowadzącego, a także przesłanie nagrań tłumaczeń oraz glosariuszy.  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-4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Dozwolona liczba nieobecności: 2. Warunki nadrobienia zaległości wynikających z przekroczenia ww. liczby nieobecności są każdorazowo indywidualnie uzgadniane z prowadzącym.  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 godzin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Giles, D. 2009. Basic Concepts and Models for Interpreter and Translator Training.</w:t>
            </w:r>
          </w:p>
          <w:p w:rsidR="00000000" w:rsidDel="00000000" w:rsidP="00000000" w:rsidRDefault="00000000" w:rsidRPr="00000000" w14:paraId="000000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Gilles, Andrew. 2001. Conference Interpreting: A Student's Companion. Tertium: Kraków. </w:t>
            </w:r>
          </w:p>
          <w:p w:rsidR="00000000" w:rsidDel="00000000" w:rsidP="00000000" w:rsidRDefault="00000000" w:rsidRPr="00000000" w14:paraId="000000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Jones, Roderick. 2002. Conference Interpreting Explained. Manchester: St. Jerome.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Tryuk, M. 2007. Przekład ustny konferencyjny. Warszawa : Wydawnictwo Naukowe PWN.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Gambier, Yves, Gile, Daniel i Christopher Tylor. 1997. Conference Interpreting. Amsterdam: John Benjamins </w:t>
            </w:r>
          </w:p>
          <w:p w:rsidR="00000000" w:rsidDel="00000000" w:rsidP="00000000" w:rsidRDefault="00000000" w:rsidRPr="00000000" w14:paraId="000000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Jones, Roderick. 2002. Conference Interpreting Explained. Manchester: St. Jerome. </w:t>
            </w:r>
          </w:p>
          <w:p w:rsidR="00000000" w:rsidDel="00000000" w:rsidP="00000000" w:rsidRDefault="00000000" w:rsidRPr="00000000" w14:paraId="000000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Korzeniowska, A. 2005. Successful Polish-English translation. Warszawa: Wydaw. Naukowe PWN. </w:t>
            </w:r>
          </w:p>
          <w:p w:rsidR="00000000" w:rsidDel="00000000" w:rsidP="00000000" w:rsidRDefault="00000000" w:rsidRPr="00000000" w14:paraId="000000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Seleskovitch, Danica. 1989. Teaching Conference Interpreting. w: Krawutschke, Peter W. (red.) Translator and Intepreter Training and Foreign Language Pedagogy. Amsterdam / Binghamton: John Benjamins / ATA. </w:t>
            </w:r>
          </w:p>
          <w:p w:rsidR="00000000" w:rsidDel="00000000" w:rsidP="00000000" w:rsidRDefault="00000000" w:rsidRPr="00000000" w14:paraId="000000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Setton, Robin i Adrew Dawrant. 2016. Conference Interpreting: A Complete Course. Amsterdam / Philadelphia: John Benjamins.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Tryuk, M. 2006. Przekład ustny środowiskowy. Warszawa : Wydawnictwo Naukowe PWN.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widowControl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Załącznik nr. 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v1msonormal" w:customStyle="1">
    <w:name w:val="v1msonormal"/>
    <w:pPr>
      <w:spacing w:after="100" w:before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56019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60195"/>
    <w:rPr>
      <w:rFonts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GKvfMgA95RD24Bbvd1SrqVElg==">AMUW2mVUOSDI9mZMumjkCZ5rj3/1G8U1l00+5NF15zvDcwblbJ0cqh8ww+E5LXNpzbvkuobRc+mDASQlV0oew++BXoMBO4pLQwfSjD7stGtvibRWyD4/KRmnkj6T3dRUJLzL6i0teBPd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2021-09-22T13:02:00Z</dcterms:created>
</cp:coreProperties>
</file>