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i w:val="1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2021/22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Dane podstawowe</w:t>
      </w:r>
    </w:p>
    <w:tbl>
      <w:tblPr>
        <w:tblStyle w:val="Table1"/>
        <w:tblW w:w="9066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6"/>
        <w:gridCol w:w="4520"/>
        <w:tblGridChange w:id="0">
          <w:tblGrid>
            <w:gridCol w:w="4546"/>
            <w:gridCol w:w="4520"/>
          </w:tblGrid>
        </w:tblGridChange>
      </w:tblGrid>
      <w:tr>
        <w:trPr>
          <w:cantSplit w:val="0"/>
          <w:trHeight w:val="5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Dydaktyka nauczania języka angielskiego na poziomie szkoły ponadpodstawowej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Nazwa przedmiotu w języku angielskim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English; high school education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Kierunek studiów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filologia angielska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Poziom studiów (I, II, jednolite magisterskie)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studiów (stacjonarne, niestacjonarne)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stacjonarne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Dyscyplina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językoznawstwo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wykładowy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Język angielski</w:t>
            </w:r>
          </w:p>
        </w:tc>
      </w:tr>
    </w:tbl>
    <w:p w:rsidR="00000000" w:rsidDel="00000000" w:rsidP="00000000" w:rsidRDefault="00000000" w:rsidRPr="00000000" w14:paraId="00000012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48"/>
        <w:gridCol w:w="4514"/>
        <w:tblGridChange w:id="0">
          <w:tblGrid>
            <w:gridCol w:w="4548"/>
            <w:gridCol w:w="451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Koordynator przedmiotu/osoba odpowiedzialna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Dr Piotr Steinbrich</w:t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line="240" w:lineRule="auto"/>
        <w:ind w:left="324" w:hanging="32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3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02"/>
        <w:gridCol w:w="2175"/>
        <w:gridCol w:w="2179"/>
        <w:gridCol w:w="2176"/>
        <w:tblGridChange w:id="0">
          <w:tblGrid>
            <w:gridCol w:w="2202"/>
            <w:gridCol w:w="2175"/>
            <w:gridCol w:w="2179"/>
            <w:gridCol w:w="217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semestr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Punkty ECTS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wykład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konwersatorium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ćwiczenia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I-III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laboratorium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warsztaty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proseminarium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lektorat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praktyki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zajęcia terenowe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pracownia dyplomowa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translatorium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wizyta studyjna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2216"/>
        <w:gridCol w:w="6846"/>
        <w:tblGridChange w:id="0">
          <w:tblGrid>
            <w:gridCol w:w="2216"/>
            <w:gridCol w:w="6846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Wymagania wstępne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Znajomość języka angielskiego na poziomie biegłości C1/C1+</w:t>
            </w:r>
          </w:p>
        </w:tc>
      </w:tr>
    </w:tbl>
    <w:p w:rsidR="00000000" w:rsidDel="00000000" w:rsidP="00000000" w:rsidRDefault="00000000" w:rsidRPr="00000000" w14:paraId="00000051">
      <w:pPr>
        <w:widowControl w:val="0"/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Cele kształcenia dla przedmiotu </w:t>
      </w:r>
    </w:p>
    <w:tbl>
      <w:tblPr>
        <w:tblStyle w:val="Table5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80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C1 Nabycie umiejętności w zakresie metod nauczania i doboru efektywnych środków dydaktycznych w nauczaniu języka angielskiego jako obcego w szkołach ponadpodstawowych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C2 Poszerzenie wiedzy teoretycznej z zakresu dydaktyki nauczania języków obcych, w gym fachowej terminologii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C3 Nabycie umiejętności radzenia sobie w krytycznych zdarzeniach dydaktycznych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C4 Zdobycie wiedzy z zakresu awansu zawodowego</w:t>
            </w:r>
          </w:p>
        </w:tc>
      </w:tr>
    </w:tbl>
    <w:p w:rsidR="00000000" w:rsidDel="00000000" w:rsidP="00000000" w:rsidRDefault="00000000" w:rsidRPr="00000000" w14:paraId="00000058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8840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67"/>
        <w:gridCol w:w="5686"/>
        <w:gridCol w:w="2087"/>
        <w:tblGridChange w:id="0">
          <w:tblGrid>
            <w:gridCol w:w="1067"/>
            <w:gridCol w:w="5686"/>
            <w:gridCol w:w="2087"/>
          </w:tblGrid>
        </w:tblGridChange>
      </w:tblGrid>
      <w:tr>
        <w:trPr>
          <w:cantSplit w:val="0"/>
          <w:trHeight w:val="61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Opis efektu przedmiotowego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Odniesienie do efektu kierunkowego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zna miejsce danego przedmiotu lub rodzaju zajęć w ramowych planach nauczania na III etapie edukacyjnym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</w:t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podstawę programową przedmiotu, cele kształcenia i treści nauczania przedmiotu na III etapie edukacyjnym, przedmiot w kontekście wcześniejszego i dalszego kształcenia, strukturę wiedzy w zakresie przedmiotu nauczania oraz kompetencje kluczowe i ich kształtowanie w ramach nauczania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D.1/E.1.W2</w:t>
            </w:r>
          </w:p>
        </w:tc>
      </w:tr>
      <w:tr>
        <w:trPr>
          <w:cantSplit w:val="0"/>
          <w:trHeight w:val="14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integrację wewnątrz- i międzyprzedmiotową; zagadnienia związane z programem nauczania – tworzenie i modyfikację, analizę, ocenę, dobór i zatwierdzanie oraz zasady projektowania procesu kształcenia oraz rozkładu materiału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D.1/E.1.W3</w:t>
            </w:r>
          </w:p>
        </w:tc>
      </w:tr>
      <w:tr>
        <w:trPr>
          <w:cantSplit w:val="0"/>
          <w:trHeight w:val="36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kompetencje merytoryczne, dydaktyczne i wychowawcze nauczyciela, w tym potrzebę zawodowego rozwoju, także z wykorzystaniem technologii informacyjnokomunikacyjnej,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oraz dostosowywania sposobu komunikowania się do poziomu rozwoju uczniów i stymulowania aktywności poznawczej uczniów, w tym kreowania sytuacji dydaktycznych; znaczenie autorytetu nauczyciela oraz zasady interakcji ucznia i nauczyciela w toku lekcji; moderowanie interakcji między uczniami; rolę nauczyciela jako popularyzatora wiedzy oraz znaczenie współpracy nauczyciela w procesie dydaktycznym z rodzicami lub opiekunami uczniów, pracownikami szkoły i środowiskiem pozaszkolnym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D.1/E.1.W4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konwencjonalne i niekonwencjonalne metody nauczania, w tym metody aktywizujące i metodę projektów, proces uczenia się przez działanie, odkrywanie lub dociekanie naukowe oraz pracę badawczą ucznia, a także zasady doboru metod nauczania typowych dla danego przedmiotu lub rodzaju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D.1/E.1.W5</w:t>
            </w:r>
          </w:p>
        </w:tc>
      </w:tr>
      <w:tr>
        <w:trPr>
          <w:cantSplit w:val="0"/>
          <w:trHeight w:val="2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metodykę realizacji poszczególnych treści kształcenia w obrębie przedmiotu lub zajęć – rozwiązania merytoryczne i metodyczne, dobre praktyki, dostosowanie oddziaływań do potrzeb i możliwości uczniów lub grup uczniowskich o różnym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potencjale i stylu uczenia się, typowe dla przedmiotu lub rodzaju zajęć błędy uczniowskie, ich rolę i sposoby wykorzystania w procesie dydaktycznym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D.1/E.1.W6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organizację pracy w klasie szkolnej i grupach: potrzebę indywidualizacji nauczania, zagadnienie nauczania interdyscyplinarnego, formy pracy specyficzne dla danego przedmiotu lub rodzaju zajęć: wycieczki, zajęcia terenowe i laboratoryjne, doświadczenia i konkursy oraz zagadnienia związane z pracą domową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D.1/E.1.W7</w:t>
            </w:r>
          </w:p>
        </w:tc>
      </w:tr>
      <w:tr>
        <w:trPr>
          <w:cantSplit w:val="0"/>
          <w:trHeight w:val="3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sposoby organizowania przestrzeni klasy szkolnej, z uwzględnieniem zasad projektowania uniwersalnego: środki dydaktyczne (podręczniki i pakiety edukacyjne), pomoce dydaktyczne – dobór i wykorzystanie zasobów edukacyjnych, w tym elektronicznych i obcojęzycznych, edukacyjne zastosowania mediów i technologii informacyjno-komunikacyjnej; myślenie komputacyjne w rozwiązywaniu problemów w zakresie nauczanego przedmiotu lub prowadzonych zajęć; potrzebę wyszukiwania, adaptacji i tworzenia elektronicznych zasobów edukacyjnych i projektowania multimediów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D.1/E.1.W8</w:t>
            </w:r>
          </w:p>
        </w:tc>
      </w:tr>
      <w:tr>
        <w:trPr>
          <w:cantSplit w:val="0"/>
          <w:trHeight w:val="16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metody kształcenia w odniesieniu do nauczanego przedmiotu lub prowadzonych zajęć, a także znaczenie kształtowania postawy odpowiedzialnego i krytycznego wykorzystywania mediów cyfrowych oraz poszanowania praw własności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intelektualnej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D.1/E.1.W9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rolę diagnozy, kontroli i oceniania w pracy dydaktycznej; ocenianie i jego rodzaje: ocenianie bieżące, semestralne i roczne, ocenianie wewnętrzne i zewnętrzne; funkcje oceny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D.1/E.1.W10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egzaminy kończące etap edukacyjny i sposoby konstruowania testów, sprawdzianów oraz innych narzędzi przydatnych w procesie oceniania uczniów w ramach nauczanego przedmiotu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D.1/E.1.W11</w:t>
            </w:r>
          </w:p>
        </w:tc>
      </w:tr>
      <w:tr>
        <w:trPr>
          <w:cantSplit w:val="0"/>
          <w:trHeight w:val="2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diagnozę wstępną grupy uczniowskiej i każdego ucznia w kontekście nauczanego przedmiotu lub prowadzonych zajęć oraz sposoby wspomagania rozwoju poznawczego uczniów; potrzebę kształtowania pojęć, postaw, umiejętności praktycznych, w tym rozwiązywania problemów, i wykorzystywania wiedzy; metody i techniki skutecznego uczenia się; metody strukturyzacji wiedzy oraz konieczność powtarzania i utrwalania wiedzy i umiejętności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D.1/E.1.W12</w:t>
            </w:r>
          </w:p>
        </w:tc>
      </w:tr>
      <w:tr>
        <w:trPr>
          <w:cantSplit w:val="0"/>
          <w:trHeight w:val="19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znaczenie rozwijania umiejętności osobistych i społeczno-emocjonalnych uczniów: potrzebę kształtowania umiejętności współpracy uczniów, w tym grupowego rozwiązywania problemów oraz budowania systemu wartości i rozwijania postaw etycznych uczniów, a także kształtowania kompetencji komunikacyjnych i nawyków kulturalnych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D.1/E.1.W13</w:t>
            </w:r>
          </w:p>
        </w:tc>
      </w:tr>
      <w:tr>
        <w:trPr>
          <w:cantSplit w:val="0"/>
          <w:trHeight w:val="153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warsztat pracy nauczyciela; właściwe wykorzystanie czasu lekcji przez ucznia i nauczyciela; zagadnienia związane ze sprawdzaniem i ocenianiem jakości kształcenia oraz jej ewaluacją, a także z koniecznością analizy i oceny własnej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pracy dydaktyczno-wychowawczej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D.1/E.1.W14</w:t>
            </w:r>
          </w:p>
        </w:tc>
      </w:tr>
      <w:tr>
        <w:trPr>
          <w:cantSplit w:val="0"/>
          <w:trHeight w:val="24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zna i rozumie potrzebę kształtowania u ucznia pozytywnego stosunku do nauki, rozwijania ciekawości, aktywności i samodzielności poznawczej, logicznego i krytycznego myślenia, kształtowania motywacji do uczenia się danego przedmiotu i nawyków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systematycznego uczenia się, korzystania z różnych źródeł wiedzy, w tym z Internetu, oraz przygotowania ucznia do uczenia się przez całe życie przez stymulowanie go do samodzielnej pracy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D.1/E.1.W15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e8ecf3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potrafi identyfikować typowe zadania szkolne z celami kształcenia, w szczególności z wymaganiami ogólnymi podstawy programowej, oraz z kompetencjami kluczowymi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przeanalizować rozkład materiału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D.1/E.1.U2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identyfikować powiązania treści nauczanego przedmiotu lub prowadzonych zajęć z innymi treściami nauczania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D.1/E.1.U3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dostosować sposób komunikacji do poziomu rozwojowego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D.1/E.1.U4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kreować sytuacje dydaktyczne służące aktywności i rozwojowi zainteresowań uczniów oraz popularyzacji wiedzy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D.1/E.1.U5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podejmować skuteczną współpracę w procesie dydaktycznym z rodzicami lub opiekunami uczniów, pracownikami szkoły i środowiskiem pozaszkolnym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D.1/E.1.U6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dobierać metody pracy klasy oraz środki dydaktyczne, w tym z zakresu technologii informacyjno-komunikacyjnej, aktywizujące uczniów i uwzględniające ich zróżnicowane potrzeby edukacyjne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D.1/E.1.U7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merytorycznie, profesjonalnie i rzetelnie oceniać pracę uczniów wykonywaną w klasie i w domu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D.1/E.1.U8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skonstruować sprawdzian służący ocenie danych umiejętności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D.1/E.1.U9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rozpoznać typowe dla nauczanego przedmiotu lub prowadzonych zajęć błędy uczniowskie i wykorzystać je w procesie dydaktycznym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D.1/E.1.U10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potrafi przeprowadzić wstępną diagnozę umiejętności ucznia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D.1/E.1.U11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adaptuje metody pracy do potrzeb i różnych style uczenia się uczniów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D.1/E.1.K1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popularyzuje wiedzę wśród uczniów i w środowisku szkolnym oraz pozaszkolnym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D.1/E.1.K2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zachęca uczniów do podejmowania prób badawczych oraz systematycznej aktywności fizycznej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D.1/E.1.K3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promuje odpowiedzialne i krytyczne wykorzystywania mediów cyfrowych oraz poszanowania praw własności intelektualnej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D.1/E.1.K4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kształtuje umiejętności współpracy uczniów, w gym grupowe rozwiązywania problemów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D.1/E.1.K5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buduje system wartości i rozwijania postaw etycznych uczniów oraz kształtuje ich kompetencje komunikacyjne i nawyki kulturalne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D.1/E.1.K6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rozwija u uczniów ciekawość, aktywność i samodzielność poznawczą oraz logiczne i krytyczne myślenie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D.1/E.1.K7</w:t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kształtuje nawyki systematycznego uczenia się i korzystania z różnych źródeł wiedzy, w tym z Internetu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D.1/E.1.K8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 stymuluje uczniów do uczenia się przez całe życie przez samodzielną pracę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20"/>
                <w:tab w:val="left" w:pos="14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D.1/E.1.K9</w:t>
            </w:r>
          </w:p>
        </w:tc>
      </w:tr>
    </w:tbl>
    <w:p w:rsidR="00000000" w:rsidDel="00000000" w:rsidP="00000000" w:rsidRDefault="00000000" w:rsidRPr="00000000" w14:paraId="000000D4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Opis przedmiotu/ treści programowe</w:t>
      </w:r>
    </w:p>
    <w:tbl>
      <w:tblPr>
        <w:tblStyle w:val="Table7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Głównym celem przedmioty jest przygotowanie studenta do wykonywania zawodu nauczyciela języka angielskiego na poziomie szkoły ponadpodstawowej. Treści programowe kształtują się następująco:</w:t>
            </w:r>
          </w:p>
          <w:p w:rsidR="00000000" w:rsidDel="00000000" w:rsidP="00000000" w:rsidRDefault="00000000" w:rsidRPr="00000000" w14:paraId="000000D7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nauczanie sprawności i podsystemów językowych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testowanie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style i strategie uczenia się</w:t>
            </w:r>
          </w:p>
          <w:p w:rsidR="00000000" w:rsidDel="00000000" w:rsidP="00000000" w:rsidRDefault="00000000" w:rsidRPr="00000000" w14:paraId="000000DA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komunikacja w klasie</w:t>
            </w:r>
          </w:p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optymalnego środowiska uczenia się</w:t>
            </w:r>
          </w:p>
          <w:p w:rsidR="00000000" w:rsidDel="00000000" w:rsidP="00000000" w:rsidRDefault="00000000" w:rsidRPr="00000000" w14:paraId="000000DC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praca z uczniem zdolnym i słabym</w:t>
            </w:r>
          </w:p>
          <w:p w:rsidR="00000000" w:rsidDel="00000000" w:rsidP="00000000" w:rsidRDefault="00000000" w:rsidRPr="00000000" w14:paraId="000000DD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i podejścia w nauczaniu języków obcych</w:t>
            </w:r>
          </w:p>
          <w:p w:rsidR="00000000" w:rsidDel="00000000" w:rsidP="00000000" w:rsidRDefault="00000000" w:rsidRPr="00000000" w14:paraId="000000DE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tworzenie własnych ćwiczeń i zadań językowych</w:t>
            </w:r>
          </w:p>
          <w:p w:rsidR="00000000" w:rsidDel="00000000" w:rsidP="00000000" w:rsidRDefault="00000000" w:rsidRPr="00000000" w14:paraId="000000DF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wykorzystywanie nowoczesnych technology</w:t>
            </w:r>
          </w:p>
          <w:p w:rsidR="00000000" w:rsidDel="00000000" w:rsidP="00000000" w:rsidRDefault="00000000" w:rsidRPr="00000000" w14:paraId="000000E0">
            <w:pPr>
              <w:numPr>
                <w:ilvl w:val="0"/>
                <w:numId w:val="3"/>
              </w:numPr>
              <w:spacing w:after="0" w:line="240" w:lineRule="auto"/>
              <w:ind w:left="174" w:hanging="174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zarządzenie klasą</w:t>
            </w:r>
          </w:p>
        </w:tc>
      </w:tr>
    </w:tbl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Metody realizacji i weryfikacji efektów uczenia się</w:t>
      </w:r>
    </w:p>
    <w:tbl>
      <w:tblPr>
        <w:tblStyle w:val="Table8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1094"/>
        <w:gridCol w:w="2646"/>
        <w:gridCol w:w="2778"/>
        <w:gridCol w:w="2544"/>
        <w:tblGridChange w:id="0">
          <w:tblGrid>
            <w:gridCol w:w="1094"/>
            <w:gridCol w:w="2646"/>
            <w:gridCol w:w="2778"/>
            <w:gridCol w:w="2544"/>
          </w:tblGrid>
        </w:tblGridChange>
      </w:tblGrid>
      <w:tr>
        <w:trPr>
          <w:cantSplit w:val="0"/>
          <w:trHeight w:val="5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Symbol efektu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dydaktyczne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Metody weryfikacji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Sposoby dokumentacji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WIEDZA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W_15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UMIEJĘTNOŚCI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z tekstem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prezentacja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1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miniwykład wprowadzający / wyjaśnienie poszczególnych zagadnień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odpowiedź ustna i informscja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U_11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KOMPETENCJE SPOŁECZNE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problemowa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indywidualna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49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metoda obserwacji uczestniczącej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  <w:tr>
        <w:trPr>
          <w:cantSplit w:val="0"/>
          <w:trHeight w:val="9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K_09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dyskusja / praca w parach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obserwacja / odpowiedź ustna i informacja zwrotna od prowadzącego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zapis w arkuszu ocen</w:t>
            </w:r>
          </w:p>
        </w:tc>
      </w:tr>
    </w:tbl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24" w:right="0" w:hanging="32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Kryteria oceny, wagi</w:t>
      </w:r>
    </w:p>
    <w:p w:rsidR="00000000" w:rsidDel="00000000" w:rsidP="00000000" w:rsidRDefault="00000000" w:rsidRPr="00000000" w14:paraId="0000018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 ocenę końcową z przedmiotu składają się następujące elementy:</w:t>
      </w:r>
    </w:p>
    <w:p w:rsidR="00000000" w:rsidDel="00000000" w:rsidP="00000000" w:rsidRDefault="00000000" w:rsidRPr="00000000" w14:paraId="00000182">
      <w:pPr>
        <w:numPr>
          <w:ilvl w:val="0"/>
          <w:numId w:val="7"/>
        </w:numPr>
        <w:ind w:left="174" w:hanging="17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aktywność na zajęciach - 30%</w:t>
      </w:r>
    </w:p>
    <w:p w:rsidR="00000000" w:rsidDel="00000000" w:rsidP="00000000" w:rsidRDefault="00000000" w:rsidRPr="00000000" w14:paraId="00000183">
      <w:pPr>
        <w:numPr>
          <w:ilvl w:val="0"/>
          <w:numId w:val="7"/>
        </w:numPr>
        <w:ind w:left="174" w:hanging="17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stworzenie i przedstawienie prezentacji wprowadzającej materiał gramatyczny lub przeprowadzenie symulacji lekcji - 40%</w:t>
      </w:r>
    </w:p>
    <w:p w:rsidR="00000000" w:rsidDel="00000000" w:rsidP="00000000" w:rsidRDefault="00000000" w:rsidRPr="00000000" w14:paraId="00000184">
      <w:pPr>
        <w:numPr>
          <w:ilvl w:val="0"/>
          <w:numId w:val="7"/>
        </w:numPr>
        <w:ind w:left="174" w:hanging="174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stworzenie i przedstawienie prezentacji ćwiczącej jedną ze sprawności językowych lub przeprowadzenie symulacji lekcji - 40%</w:t>
      </w:r>
    </w:p>
    <w:p w:rsidR="00000000" w:rsidDel="00000000" w:rsidP="00000000" w:rsidRDefault="00000000" w:rsidRPr="00000000" w14:paraId="0000018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Obciążenie pracą studenta</w:t>
      </w:r>
    </w:p>
    <w:tbl>
      <w:tblPr>
        <w:tblStyle w:val="Table9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4538"/>
        <w:gridCol w:w="4524"/>
        <w:tblGridChange w:id="0">
          <w:tblGrid>
            <w:gridCol w:w="4538"/>
            <w:gridCol w:w="4524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Forma aktywności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kontaktowych z nauczycielem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90</w:t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Liczba godzin indywidualnej pracy studenta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</w:p>
        </w:tc>
      </w:tr>
    </w:tbl>
    <w:p w:rsidR="00000000" w:rsidDel="00000000" w:rsidP="00000000" w:rsidRDefault="00000000" w:rsidRPr="00000000" w14:paraId="0000018D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Literatura</w:t>
      </w:r>
    </w:p>
    <w:tbl>
      <w:tblPr>
        <w:tblStyle w:val="Table10"/>
        <w:tblW w:w="9062.0" w:type="dxa"/>
        <w:jc w:val="left"/>
        <w:tblInd w:w="432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4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rHeight w:val="39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8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Literatura podstawowa</w:t>
            </w:r>
          </w:p>
        </w:tc>
      </w:tr>
      <w:tr>
        <w:trPr>
          <w:cantSplit w:val="0"/>
          <w:trHeight w:val="10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Douglas Brown, H. Principles of Language Learning and Teaching. Pearson.</w:t>
            </w:r>
          </w:p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Harmer, J. The Practice of English Language Teaching. Pearson.</w:t>
            </w:r>
          </w:p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Komorowska, H. Metodyka Nauczania Języków Obcych, Fraszka Edukacyjna</w:t>
            </w:r>
          </w:p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Thornbury, S. Uncovering Grammar. Macmillan.</w:t>
            </w:r>
          </w:p>
        </w:tc>
      </w:tr>
    </w:tbl>
    <w:p w:rsidR="00000000" w:rsidDel="00000000" w:rsidP="00000000" w:rsidRDefault="00000000" w:rsidRPr="00000000" w14:paraId="0000019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5">
    <w:pPr>
      <w:spacing w:after="0" w:line="240" w:lineRule="auto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Załącznik nr. 5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2">
    <w:lvl w:ilvl="0">
      <w:start w:val="4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4">
    <w:lvl w:ilvl="0">
      <w:start w:val="3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5">
    <w:lvl w:ilvl="0">
      <w:start w:val="5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6">
    <w:lvl w:ilvl="0">
      <w:start w:val="6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-"/>
      <w:lvlJc w:val="left"/>
      <w:pPr>
        <w:ind w:left="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1">
      <w:start w:val="1"/>
      <w:numFmt w:val="bullet"/>
      <w:lvlText w:val="-"/>
      <w:lvlJc w:val="left"/>
      <w:pPr>
        <w:ind w:left="774" w:hanging="173.9999999999999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3">
      <w:start w:val="1"/>
      <w:numFmt w:val="bullet"/>
      <w:lvlText w:val="-"/>
      <w:lvlJc w:val="left"/>
      <w:pPr>
        <w:ind w:left="1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4">
      <w:start w:val="1"/>
      <w:numFmt w:val="bullet"/>
      <w:lvlText w:val="-"/>
      <w:lvlJc w:val="left"/>
      <w:pPr>
        <w:ind w:left="2574" w:hanging="174.00000000000045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5">
      <w:start w:val="1"/>
      <w:numFmt w:val="bullet"/>
      <w:lvlText w:val="-"/>
      <w:lvlJc w:val="left"/>
      <w:pPr>
        <w:ind w:left="31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6">
      <w:start w:val="1"/>
      <w:numFmt w:val="bullet"/>
      <w:lvlText w:val="-"/>
      <w:lvlJc w:val="left"/>
      <w:pPr>
        <w:ind w:left="37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7">
      <w:start w:val="1"/>
      <w:numFmt w:val="bullet"/>
      <w:lvlText w:val="-"/>
      <w:lvlJc w:val="left"/>
      <w:pPr>
        <w:ind w:left="43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  <w:lvl w:ilvl="8">
      <w:start w:val="1"/>
      <w:numFmt w:val="bullet"/>
      <w:lvlText w:val="-"/>
      <w:lvlJc w:val="left"/>
      <w:pPr>
        <w:ind w:left="4974" w:hanging="174"/>
      </w:pPr>
      <w:rPr>
        <w:rFonts w:ascii="Trebuchet MS" w:cs="Trebuchet MS" w:eastAsia="Trebuchet MS" w:hAnsi="Trebuchet MS"/>
        <w:b w:val="0"/>
        <w:i w:val="0"/>
        <w:smallCaps w:val="0"/>
        <w:strike w:val="0"/>
        <w:shd w:fill="auto" w:val="clear"/>
        <w:vertAlign w:val="baseline"/>
      </w:rPr>
    </w:lvl>
  </w:abstractNum>
  <w:abstractNum w:abstractNumId="8">
    <w:lvl w:ilvl="0">
      <w:start w:val="7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9">
    <w:lvl w:ilvl="0">
      <w:start w:val="8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abstractNum w:abstractNumId="10">
    <w:lvl w:ilvl="0">
      <w:start w:val="1"/>
      <w:numFmt w:val="upperRoman"/>
      <w:lvlText w:val="%1."/>
      <w:lvlJc w:val="left"/>
      <w:pPr>
        <w:ind w:left="1080" w:hanging="72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09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09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09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rsid w:val="00DB56F9"/>
    <w:pPr>
      <w:spacing w:after="200" w:line="276" w:lineRule="auto"/>
    </w:pPr>
    <w:rPr>
      <w:rFonts w:ascii="Calibri" w:cs="Calibri" w:eastAsia="Calibri" w:hAnsi="Calibri"/>
      <w:color w:val="000000"/>
      <w:sz w:val="22"/>
      <w:szCs w:val="22"/>
      <w:u w:color="00000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character" w:styleId="Hipercze">
    <w:name w:val="Hyperlink"/>
    <w:rsid w:val="00DB56F9"/>
    <w:rPr>
      <w:u w:val="single"/>
    </w:rPr>
  </w:style>
  <w:style w:type="table" w:styleId="TableNormal" w:customStyle="1">
    <w:name w:val="Table Normal"/>
    <w:rsid w:val="00DB56F9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agwek">
    <w:name w:val="header"/>
    <w:rsid w:val="00DB56F9"/>
    <w:pPr>
      <w:tabs>
        <w:tab w:val="center" w:pos="4536"/>
        <w:tab w:val="right" w:pos="9072"/>
      </w:tabs>
    </w:pPr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HeaderFooter" w:customStyle="1">
    <w:name w:val="Header &amp; Footer"/>
    <w:rsid w:val="00DB56F9"/>
    <w:pPr>
      <w:tabs>
        <w:tab w:val="right" w:pos="9020"/>
      </w:tabs>
    </w:pPr>
    <w:rPr>
      <w:rFonts w:ascii="Helvetica Neue" w:cs="Helvetica Neue" w:eastAsia="Helvetica Neue" w:hAnsi="Helvetica Neue"/>
      <w:color w:val="000000"/>
      <w:sz w:val="24"/>
      <w:szCs w:val="24"/>
    </w:rPr>
  </w:style>
  <w:style w:type="paragraph" w:styleId="Akapitzlist">
    <w:name w:val="List Paragraph"/>
    <w:rsid w:val="00DB56F9"/>
    <w:pPr>
      <w:spacing w:after="200" w:line="276" w:lineRule="auto"/>
      <w:ind w:left="720"/>
    </w:pPr>
    <w:rPr>
      <w:rFonts w:ascii="Calibri" w:cs="Calibri" w:eastAsia="Calibri" w:hAnsi="Calibri"/>
      <w:color w:val="000000"/>
      <w:sz w:val="22"/>
      <w:szCs w:val="22"/>
      <w:u w:color="000000"/>
    </w:rPr>
  </w:style>
  <w:style w:type="numbering" w:styleId="ImportedStyle1" w:customStyle="1">
    <w:name w:val="Imported Style 1"/>
    <w:rsid w:val="00DB56F9"/>
    <w:pPr>
      <w:numPr>
        <w:numId w:val="1"/>
      </w:numPr>
    </w:pPr>
  </w:style>
  <w:style w:type="paragraph" w:styleId="TableStyle2" w:customStyle="1">
    <w:name w:val="Table Style 2"/>
    <w:rsid w:val="00DB56F9"/>
    <w:rPr>
      <w:rFonts w:ascii="Helvetica Neue" w:cs="Arial Unicode MS" w:hAnsi="Helvetica Neue"/>
      <w:color w:val="000000"/>
      <w:u w:color="000000"/>
    </w:rPr>
  </w:style>
  <w:style w:type="paragraph" w:styleId="Default" w:customStyle="1">
    <w:name w:val="Default"/>
    <w:rsid w:val="00DB56F9"/>
    <w:rPr>
      <w:rFonts w:ascii="Helvetica Neue" w:cs="Helvetica Neue" w:eastAsia="Helvetica Neue" w:hAnsi="Helvetica Neue"/>
      <w:color w:val="000000"/>
      <w:sz w:val="22"/>
      <w:szCs w:val="22"/>
      <w:u w:color="000000"/>
      <w:lang w:val="es-ES_tradnl"/>
    </w:rPr>
  </w:style>
  <w:style w:type="numbering" w:styleId="Bullets" w:customStyle="1">
    <w:name w:val="Bullets"/>
    <w:rsid w:val="00DB56F9"/>
    <w:pPr>
      <w:numPr>
        <w:numId w:val="15"/>
      </w:numPr>
    </w:pPr>
  </w:style>
  <w:style w:type="paragraph" w:styleId="Stopka">
    <w:name w:val="footer"/>
    <w:basedOn w:val="Normalny"/>
    <w:link w:val="StopkaZnak"/>
    <w:uiPriority w:val="99"/>
    <w:semiHidden w:val="1"/>
    <w:unhideWhenUsed w:val="1"/>
    <w:rsid w:val="00E7730A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semiHidden w:val="1"/>
    <w:rsid w:val="00E7730A"/>
    <w:rPr>
      <w:rFonts w:ascii="Calibri" w:cs="Calibri" w:eastAsia="Calibri" w:hAnsi="Calibri"/>
      <w:color w:val="000000"/>
      <w:sz w:val="22"/>
      <w:szCs w:val="22"/>
      <w:u w:color="00000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lPGhZGvSZxQaffaoOvpSukNXQ==">AMUW2mUF9+A5TNRAWo4wBNIAVu7aA+HNQ6uaZpGZeYuLg68baq/4wHm/YHTmzPUBlW1g7lY3hriZB0IS5nnUxvU8xdQFm06rdC+rl1n77ThzCXSEUBaM9+c=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2021-10-05T08:34:00Z</dcterms:created>
</cp:coreProperties>
</file>