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(seminar)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S. Zdziebko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co najmniej B2+/C1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podstawowych zagadnień z dziedziny językoznawstwa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Studenci używają zaawansowanej terminologii z dziedziny językoznawstwa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Studenci formułują  pytania badawcze w zakresie językoznawstwa 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Studenci używają danych językowych jako dowodów potwierdzających lub przeczących konkretnym hipotezom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Studenci wymieniają najważniejsze teorie i prądy we współczesnym językoznawstwie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C5 Studenci używają języka angielskiego na poziomie C2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732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4"/>
        <w:gridCol w:w="5616"/>
        <w:gridCol w:w="2062"/>
        <w:tblGridChange w:id="0">
          <w:tblGrid>
            <w:gridCol w:w="1054"/>
            <w:gridCol w:w="5616"/>
            <w:gridCol w:w="2062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zasady poszanowania własności intelektualnej istotne w procesie przygotowywania pracy dyplomowej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konstruuje złożone wypowiedzi ustne i pisemne w języku angielskim na poziomie biegłości 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precyzyjnie i poprawnie logicznie wyraża swoje myśli i poglądy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wnioski i tworzy syntetyczne podsumowania oceniające różne opinie i stanowiska dotyczące zagadnień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krytyczne oceny własnej wiedzy i umiejętności oraz odbieranych treści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uznaje wartości wiedzy eksperckiej w rozwiązywaniu problemów poznawczych i praktycznych w zakresie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różnice pomiędzy cytatem, parafrazą i plagiatem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9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Cele i misja językoznawstwa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Wstęp do historii myśli językoznawczej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Językoznawstwo strukturalne I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Językoznawstwo strukturalne II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Rewolucja kognitywna w językoznawstwie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Podstawowe założenia i cele językoznawstwa generatywnego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Ewolucja składni generatywnej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Ewolucja fonologii generatywnej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Koncepcja modularności w językoznawstwie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Podstawowe zagadnienia semantyki formalnej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Językoznawstwo kognitywne I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Językoznawstwo kognitywne II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Konekcjonizm i gramatyka harmoniczna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Konekcjonizm i teoria optymalności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Funkcjonalizm i formalizm w językoznawstwie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pierwszych dwóch semestrach studiów, student/ka otrzymuje zaliczenie jeżeli  złoży gotowy pierwszy rozdział pracy magisterskiej.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czterech semestrach, student/ka otrzymuje zaliczenie, jeżeli osiągnie efekty uczenia się oraz złoży gotowa pracę magisterską. 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570</w:t>
            </w:r>
          </w:p>
        </w:tc>
      </w:tr>
    </w:tbl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(1957), Syntactic Structures, The Hague/Paris: Mouton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(1975), The Logical Structure of Linguistic Theory, New York: Plenum.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Croft, W. &amp; D. A. Cruse (2004) Cognitive Linguistics. Cambridge: Cambridge University Press.</w:t>
            </w:r>
          </w:p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D.(2010) Localism versus Globalism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in Morphology and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 and R. Noyer (2007) Distributed Morphology and syntax-morphology interface. In: G. Ramchand and C. Reiss (eds)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Oxford Hadbook of Linguistic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Interfaces.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Cambridge University Press, 289 - 324.</w:t>
            </w:r>
          </w:p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Evans, Vyvyan &amp; Melanie Green (2006).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Cognitive Linguistics: An 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Edmund (1980):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Studies in Abstract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M. (1959)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Sound Pattern of Russian.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Hague, Mouton.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MA: MIT Press, 425-450.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Morris and A. Marantz (1994): Some key features of distributed morphology. In: Andrew Carnie, Heidi Harley and Tom Bures (eds.)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Papers on Phonology and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Morphology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Cambridge MA: Department of Linguistics, MIT, 275–288.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Nichols, J. (1984). "Functional Theories of Grammar". Annual Review of Anthropology. 13: 97–117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Beavers, J. &amp; A. Koontz-Garboden (2013 b) Complications in Diagnosing Lexical Meaning: A Rejoinder to Horvath and Siloni (2013). Lingua 134, 210-218. </w:t>
            </w:r>
          </w:p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2003. Exo-skeletal vs. endo-skeletal explanations: Syntactic projections and the lexicon. In J. Moore, and M. Polinsky (eds.), The nature of explanation in linguistic theory, 31–67. Stanford, CA: CSLI Publications. 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2005 The normal course of events. Oxford: Oxford University Press.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Booij, Geert. 2010. Construction Morphology. Oxford: Oxford University Press. </w:t>
              <w:br w:type="textWrapping"/>
              <w:t xml:space="preserve">Alexiadou Artemis, Elena Anagnostopoulou, &amp; Martin Everaert (2004). The unaccusativity puzzle. </w:t>
              <w:br w:type="textWrapping"/>
              <w:t xml:space="preserve">Explorations of the syntax-lexicon interface. Oxford: Oxford University Press. </w:t>
              <w:br w:type="textWrapping"/>
              <w:t xml:space="preserve">Alexiadou, A. 2001. Functional structure in nominals: Nominalization and ergativity. Linguistik Aktuell 42. Amsterdam: John Benjamins.</w:t>
            </w:r>
          </w:p>
        </w:tc>
      </w:tr>
    </w:tbl>
    <w:p w:rsidR="00000000" w:rsidDel="00000000" w:rsidP="00000000" w:rsidRDefault="00000000" w:rsidRPr="00000000" w14:paraId="000000E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tabs>
        <w:tab w:val="center" w:pos="4536"/>
        <w:tab w:val="right" w:pos="9072"/>
        <w:tab w:val="right" w:pos="9046"/>
      </w:tabs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HTML-cytat">
    <w:name w:val="HTML Cite"/>
    <w:rPr>
      <w:rFonts w:ascii="Calibri" w:cs="Calibri" w:eastAsia="Calibri" w:hAnsi="Calibri"/>
      <w:i w:val="1"/>
      <w:iCs w:val="1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4B060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B060C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pP3pAvONROHhbXu7tfy2eC4/w==">AMUW2mU0H0/Y89qSQdMtT/zAzhUgE73XLRByhA3bdYwcowkMTQ0XluLIcM4YPGFpnco4XUvUV4DXiXYid0NVG7ciAQGC9FAHVe9uaHOApcZxw80pSDLKojuDYqcr3UtJ+1g+I4o/S5k4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2021-09-24T11:31:00Z</dcterms:created>
</cp:coreProperties>
</file>