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KARTA PRZEDMIOTU</w:t>
      </w:r>
      <w:r w:rsidDel="00000000" w:rsidR="00000000" w:rsidRPr="00000000">
        <w:rPr>
          <w:rtl w:val="0"/>
        </w:rPr>
      </w:r>
    </w:p>
    <w:p w:rsidR="00000000" w:rsidDel="00000000" w:rsidP="00000000" w:rsidRDefault="00000000" w:rsidRPr="00000000" w14:paraId="00000002">
      <w:pPr>
        <w:shd w:fill="ffffff" w:val="clear"/>
        <w:spacing w:after="200" w:line="276" w:lineRule="auto"/>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i w:val="1"/>
          <w:color w:val="000000"/>
          <w:highlight w:val="white"/>
          <w:rtl w:val="0"/>
        </w:rPr>
        <w:t xml:space="preserve">Cykl kształcenia od roku akademickiego: 2021/22</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r w:rsidDel="00000000" w:rsidR="00000000" w:rsidRPr="00000000">
        <w:rPr>
          <w:rtl w:val="0"/>
        </w:rPr>
      </w:r>
    </w:p>
    <w:tbl>
      <w:tblPr>
        <w:tblStyle w:val="Table1"/>
        <w:tblW w:w="8948.0" w:type="dxa"/>
        <w:jc w:val="left"/>
        <w:tblInd w:w="108.0" w:type="pct"/>
        <w:tblLayout w:type="fixed"/>
        <w:tblLook w:val="0000"/>
      </w:tblPr>
      <w:tblGrid>
        <w:gridCol w:w="4487"/>
        <w:gridCol w:w="4461"/>
        <w:tblGridChange w:id="0">
          <w:tblGrid>
            <w:gridCol w:w="4487"/>
            <w:gridCol w:w="4461"/>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anglojęzyczna</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 w języku angielskim</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English-language literature</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Kierunek studiów</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filologia angielska</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Poziom studiów (I, II, jednolite magisterskie)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studiów (stacjonarne, niestacjonarne)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stacjonarne</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Dyscyplina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językoznawstwo</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wykładowy</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angielski</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931.0" w:type="dxa"/>
        <w:jc w:val="left"/>
        <w:tblInd w:w="108.0" w:type="pct"/>
        <w:tblLayout w:type="fixed"/>
        <w:tblLook w:val="0000"/>
      </w:tblPr>
      <w:tblGrid>
        <w:gridCol w:w="4548"/>
        <w:gridCol w:w="4383"/>
        <w:tblGridChange w:id="0">
          <w:tblGrid>
            <w:gridCol w:w="4548"/>
            <w:gridCol w:w="4383"/>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Koordynator przedmiotu/osoba odpowiedzialna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Magalena Sawa</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931.0" w:type="dxa"/>
        <w:jc w:val="left"/>
        <w:tblInd w:w="8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32"/>
        <w:gridCol w:w="2233"/>
        <w:gridCol w:w="2233"/>
        <w:gridCol w:w="2233"/>
        <w:tblGridChange w:id="0">
          <w:tblGrid>
            <w:gridCol w:w="2232"/>
            <w:gridCol w:w="2233"/>
            <w:gridCol w:w="2233"/>
            <w:gridCol w:w="2233"/>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zajęć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sz w:val="22"/>
                <w:szCs w:val="22"/>
                <w:rtl w:val="0"/>
              </w:rPr>
              <w:t xml:space="preserve">3</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I-IV</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2.0" w:type="dxa"/>
        <w:jc w:val="left"/>
        <w:tblInd w:w="108.0" w:type="pct"/>
        <w:tblLayout w:type="fixed"/>
        <w:tblLook w:val="0000"/>
      </w:tblPr>
      <w:tblGrid>
        <w:gridCol w:w="2215"/>
        <w:gridCol w:w="6847"/>
        <w:tblGridChange w:id="0">
          <w:tblGrid>
            <w:gridCol w:w="2215"/>
            <w:gridCol w:w="6847"/>
          </w:tblGrid>
        </w:tblGridChange>
      </w:tblGrid>
      <w:tr>
        <w:trPr>
          <w:cantSplit w:val="0"/>
          <w:trHeight w:val="5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Wymagania wstępne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Znajomość języka angielskiego – poziom B2+/ C1.</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Podstawowe wiadomości z zakresu historii i teorii literatury.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 w zakresie użycia rejestru akademickiego w pracy pisemnej odpowiednie do poziomu studiów.</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Doświadczenie w zakresie analizy i interpretacji tekstów literackich.</w:t>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b w:val="1"/>
          <w:color w:val="000000"/>
          <w:sz w:val="22"/>
          <w:szCs w:val="22"/>
        </w:rPr>
      </w:pPr>
      <w:r w:rsidDel="00000000" w:rsidR="00000000" w:rsidRPr="00000000">
        <w:rPr>
          <w:rtl w:val="0"/>
        </w:rPr>
      </w:r>
    </w:p>
    <w:p w:rsidR="00000000" w:rsidDel="00000000" w:rsidP="00000000" w:rsidRDefault="00000000" w:rsidRPr="00000000" w14:paraId="00000056">
      <w:pPr>
        <w:rPr>
          <w:b w:val="1"/>
          <w:color w:val="000000"/>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w:t>
      </w:r>
      <w:r w:rsidDel="00000000" w:rsidR="00000000" w:rsidRPr="00000000">
        <w:rPr>
          <w:rtl w:val="0"/>
        </w:rPr>
      </w:r>
    </w:p>
    <w:tbl>
      <w:tblPr>
        <w:tblStyle w:val="Table5"/>
        <w:tblW w:w="9062.0" w:type="dxa"/>
        <w:jc w:val="left"/>
        <w:tblInd w:w="108.0" w:type="pct"/>
        <w:tblLayout w:type="fixed"/>
        <w:tblLook w:val="0000"/>
      </w:tblPr>
      <w:tblGrid>
        <w:gridCol w:w="9062"/>
        <w:tblGridChange w:id="0">
          <w:tblGrid>
            <w:gridCol w:w="9062"/>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C1  Poziom języka angielskiego: rok 1 MA  –  C1+, rok 2 MA – C2.</w:t>
            </w:r>
          </w:p>
        </w:tc>
      </w:tr>
      <w:tr>
        <w:trPr>
          <w:cantSplit w:val="0"/>
          <w:trHeight w:val="6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C2   Podniesienie znajomości współczesnej literatury anglojęzycznej oraz problematyki literaturoznawczej.</w:t>
            </w:r>
          </w:p>
        </w:tc>
      </w:tr>
      <w:tr>
        <w:trPr>
          <w:cantSplit w:val="0"/>
          <w:trHeight w:val="6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C3  Wprowadzenie podstawowych pojęć, definicji, teorii i narzędzi analizy związanych ze zjawiskiem intertekstualności w kontekście literatury anglojęzycznej.</w:t>
            </w:r>
          </w:p>
        </w:tc>
      </w:tr>
      <w:tr>
        <w:trPr>
          <w:cantSplit w:val="0"/>
          <w:trHeight w:val="6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C4  Doskonalenie umiejętności korzystania z prac krytycznoliterackich oraz zdolności analizy i interpretacji tekstów literackich</w:t>
            </w:r>
          </w:p>
        </w:tc>
      </w:tr>
      <w:tr>
        <w:trPr>
          <w:cantSplit w:val="0"/>
          <w:trHeight w:val="6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C5 Napisanie przez każdego z uczestników seminarium pracy magisterskiej rozpatrującej wybrane zagadnienia dotyczące literatury anglojęzycznej.</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r w:rsidDel="00000000" w:rsidR="00000000" w:rsidRPr="00000000">
        <w:rPr>
          <w:rtl w:val="0"/>
        </w:rPr>
      </w:r>
    </w:p>
    <w:tbl>
      <w:tblPr>
        <w:tblStyle w:val="Table6"/>
        <w:tblW w:w="9062.0" w:type="dxa"/>
        <w:jc w:val="left"/>
        <w:tblInd w:w="108.0" w:type="pct"/>
        <w:tblLayout w:type="fixed"/>
        <w:tblLook w:val="0000"/>
      </w:tblPr>
      <w:tblGrid>
        <w:gridCol w:w="1094"/>
        <w:gridCol w:w="5829"/>
        <w:gridCol w:w="2139"/>
        <w:tblGridChange w:id="0">
          <w:tblGrid>
            <w:gridCol w:w="1094"/>
            <w:gridCol w:w="5829"/>
            <w:gridCol w:w="2139"/>
          </w:tblGrid>
        </w:tblGridChange>
      </w:tblGrid>
      <w:tr>
        <w:trPr>
          <w:cantSplit w:val="0"/>
          <w:trHeight w:val="643"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bottom"/>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efektu przedmiotowego</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Odniesienie do efektu kierunkowego</w:t>
            </w:r>
          </w:p>
        </w:tc>
      </w:tr>
      <w:tr>
        <w:trPr>
          <w:cantSplit w:val="0"/>
          <w:trHeight w:val="260" w:hRule="atLeast"/>
          <w:tblHeader w:val="0"/>
        </w:trPr>
        <w:tc>
          <w:tcPr>
            <w:gridSpan w:val="3"/>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definiuje podstawowe pojęcia z zakresu prawa autorskiego.</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K_W09</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wyjaśnia podstawowe zasady poszanowania własności intelektualnej w odniesieniu do uprawianej dyscypliny.</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K_W09</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charakteryzuje uwarunkowania ekonomiczne, prawne i etyczne uprawianych badań.</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K_W09</w:t>
            </w:r>
          </w:p>
        </w:tc>
      </w:tr>
      <w:tr>
        <w:trPr>
          <w:cantSplit w:val="0"/>
          <w:trHeight w:val="260" w:hRule="atLeast"/>
          <w:tblHeader w:val="0"/>
        </w:trPr>
        <w:tc>
          <w:tcPr>
            <w:gridSpan w:val="3"/>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721"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korzysta z różnych źródeł naukowych i przedstawia ich stanowiska w formie prezentacji.</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K_U02, K_U04, K_U05, K_U07,  K_U09</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samodzielnie interpretuje teksty literackie pod kątem analizowanych zagadnień dotyczących literatury anglojęzycznej i zjawiska intertekstualności.</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K_U05, K_U07</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przedstawia efekty swoich badań w formie samodzielnej naukowej pracy pisemnej.</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K_U04, K_U07</w:t>
            </w:r>
          </w:p>
        </w:tc>
      </w:tr>
      <w:tr>
        <w:trPr>
          <w:cantSplit w:val="0"/>
          <w:trHeight w:val="260" w:hRule="atLeast"/>
          <w:tblHeader w:val="0"/>
        </w:trPr>
        <w:tc>
          <w:tcPr>
            <w:gridSpan w:val="3"/>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481"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zachowuje krytycyzm w ocenie analizowanego materiału jak i zdobytej w ramach seminarium wiedzy i umiejętności.</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K_K01, K_K02, K_K06</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wykazuje otwartość na dalszy rozwój zawodowy, który uwzględnia nabyte podczas seminarium umiejętności i wiedzę.</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tabs>
                <w:tab w:val="left" w:pos="720"/>
                <w:tab w:val="left" w:pos="14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K_K06</w:t>
            </w:r>
          </w:p>
        </w:tc>
      </w:tr>
    </w:tbl>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r w:rsidDel="00000000" w:rsidR="00000000" w:rsidRPr="00000000">
        <w:rPr>
          <w:rtl w:val="0"/>
        </w:rPr>
      </w:r>
    </w:p>
    <w:tbl>
      <w:tblPr>
        <w:tblStyle w:val="Table7"/>
        <w:tblW w:w="9062.0" w:type="dxa"/>
        <w:jc w:val="left"/>
        <w:tblInd w:w="108.0" w:type="pct"/>
        <w:tblLayout w:type="fixed"/>
        <w:tblLook w:val="0000"/>
      </w:tblPr>
      <w:tblGrid>
        <w:gridCol w:w="9062"/>
        <w:tblGridChange w:id="0">
          <w:tblGrid>
            <w:gridCol w:w="9062"/>
          </w:tblGrid>
        </w:tblGridChange>
      </w:tblGrid>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Zakres tematyczny kursu obejmuje zagadnienia związane ze współczesną literaturą anglojęzyczną, teorią literatury i zjawiskiem intertekstualności. Elementy tematyczne kursu zawierają: krótki przegląd najważniejszych zagadnień związanych ze współczesną literaturą anglojęzyczną; przegląd zagadnień dotyczących intertekstualności – podstawowych koncepcji i teorii związanych z procesem przepisywania (rewriting) tekstów. Część praktyczna kursu obejmuje wprowadzenie do metodologii pracy nad rozprawą magisterską; pracę nad projektem rozprawy; konsultacje dotyczące indywidualnych projektów oraz ich prezentację i dyskusję na zajęciach.</w:t>
            </w:r>
          </w:p>
        </w:tc>
      </w:tr>
    </w:tbl>
    <w:p w:rsidR="00000000" w:rsidDel="00000000" w:rsidP="00000000" w:rsidRDefault="00000000" w:rsidRPr="00000000" w14:paraId="00000086">
      <w:pPr>
        <w:rPr>
          <w:color w:val="000000"/>
          <w:sz w:val="22"/>
          <w:szCs w:val="22"/>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r w:rsidDel="00000000" w:rsidR="00000000" w:rsidRPr="00000000">
        <w:rPr>
          <w:rtl w:val="0"/>
        </w:rPr>
      </w:r>
    </w:p>
    <w:tbl>
      <w:tblPr>
        <w:tblStyle w:val="Table8"/>
        <w:tblW w:w="9062.0" w:type="dxa"/>
        <w:jc w:val="left"/>
        <w:tblInd w:w="108.0" w:type="pct"/>
        <w:tblLayout w:type="fixed"/>
        <w:tblLook w:val="0000"/>
      </w:tblPr>
      <w:tblGrid>
        <w:gridCol w:w="1094"/>
        <w:gridCol w:w="2645"/>
        <w:gridCol w:w="2778"/>
        <w:gridCol w:w="2545"/>
        <w:tblGridChange w:id="0">
          <w:tblGrid>
            <w:gridCol w:w="1094"/>
            <w:gridCol w:w="2645"/>
            <w:gridCol w:w="2778"/>
            <w:gridCol w:w="2545"/>
          </w:tblGrid>
        </w:tblGridChange>
      </w:tblGrid>
      <w:tr>
        <w:trPr>
          <w:cantSplit w:val="0"/>
          <w:trHeight w:val="91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 efektu</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dydaktyczne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weryfikacji</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Sposoby dokumentacji</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gridSpan w:val="4"/>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 praca z tekstem</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Wypowiedź ustna na zajęciach, przygotowanie prezentacji, praca pisemna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Karta oceny prezentacji, oceniony tekst pracy pisemnej</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 praca z tekstem</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Wypowiedź ustna na zajęciach, przygotowanie prezentacji, praca pisemna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Karta oceny prezentacji, oceniony tekst pracy pisemnej</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 praca z tekstem</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Wypowiedź ustna na zajęciach, przygotowanie prezentacji, praca pisemna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Karta oceny prezentacji, oceniony tekst pracy pisemnej</w:t>
            </w:r>
          </w:p>
        </w:tc>
      </w:tr>
      <w:tr>
        <w:trPr>
          <w:cantSplit w:val="0"/>
          <w:trHeight w:val="260" w:hRule="atLeast"/>
          <w:tblHeader w:val="0"/>
        </w:trPr>
        <w:tc>
          <w:tcPr>
            <w:gridSpan w:val="4"/>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 dyskusja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na zajęciach i informacja zwrotna od grupy i prowdzącego, praca pisemna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magisterska, zapis w arkuszu ocen</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 dyskusja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na zajęciach i informacja zwrotna od grupy i prowdzącego, praca pisemna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magisterska, zapis w arkuszu ocen</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 dyskusja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na zajęciach i informacja zwrotna od grupy i prowdzącego, praca pisemna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magisterska, zapis w arkuszu ocen</w:t>
            </w:r>
          </w:p>
        </w:tc>
      </w:tr>
      <w:tr>
        <w:trPr>
          <w:cantSplit w:val="0"/>
          <w:trHeight w:val="260" w:hRule="atLeast"/>
          <w:tblHeader w:val="0"/>
        </w:trPr>
        <w:tc>
          <w:tcPr>
            <w:gridSpan w:val="4"/>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rozmowa sokratyczna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w czasie zajęć</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rozmowa sokratyczna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w czasie zajęć</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rozmowa sokratyczna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w czasie zajęć</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w:t>
            </w:r>
          </w:p>
        </w:tc>
      </w:tr>
    </w:tb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1080" w:right="0" w:firstLine="0"/>
        <w:jc w:val="left"/>
        <w:rPr>
          <w:b w:val="1"/>
          <w:color w:val="000000"/>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Obecność na zajęciach z możliwością trzech nieobecności nieusprawiedliwionych w ciągu semestru.</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Aktywny udział w dyskusjach.</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Na koniec pierwszego semestru studenci przedstawiają projekt pracy magisterskiej i zgromadzoną bibliografię. Warunkiem zaliczenia pierwszego roku jest przedstawienie ostatecznej wersji pierwszego rozdziału pracy magisterskiej. Pod koniec trzeciego semestru studenci przedstawiają drugi rozdział, pod koniec czwartego semestru całość pracy (tj. ostatni rozdział, wprowadzenie, wnioski, streszczenie, bibliografię, spis treści). Ocenę pracy promotor przedstawia w recenzji promotorskiej.</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r w:rsidDel="00000000" w:rsidR="00000000" w:rsidRPr="00000000">
        <w:rPr>
          <w:rtl w:val="0"/>
        </w:rPr>
      </w:r>
    </w:p>
    <w:tbl>
      <w:tblPr>
        <w:tblStyle w:val="Table9"/>
        <w:tblW w:w="9062.0" w:type="dxa"/>
        <w:jc w:val="left"/>
        <w:tblInd w:w="108.0" w:type="pct"/>
        <w:tblLayout w:type="fixed"/>
        <w:tblLook w:val="0000"/>
      </w:tblPr>
      <w:tblGrid>
        <w:gridCol w:w="4539"/>
        <w:gridCol w:w="4523"/>
        <w:tblGridChange w:id="0">
          <w:tblGrid>
            <w:gridCol w:w="4539"/>
            <w:gridCol w:w="4523"/>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aktywności studenta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kontaktowych z nauczycielem</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indywidualnej pracy studenta</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570</w:t>
            </w: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r w:rsidDel="00000000" w:rsidR="00000000" w:rsidRPr="00000000">
        <w:rPr>
          <w:rtl w:val="0"/>
        </w:rPr>
      </w:r>
    </w:p>
    <w:tbl>
      <w:tblPr>
        <w:tblStyle w:val="Table10"/>
        <w:tblW w:w="9062.0" w:type="dxa"/>
        <w:jc w:val="left"/>
        <w:tblInd w:w="108.0" w:type="pct"/>
        <w:tblLayout w:type="fixed"/>
        <w:tblLook w:val="0000"/>
      </w:tblPr>
      <w:tblGrid>
        <w:gridCol w:w="9062"/>
        <w:tblGridChange w:id="0">
          <w:tblGrid>
            <w:gridCol w:w="9062"/>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podstawowa</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Graham, Allen.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Intertextuality: The New Critical Idiom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Routledge, 2000.</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Moraru, Christian.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Rewriting: Postmodern Narrative and Cultural Critique in the Age of Cloning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State University of New York Press, 2001.</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Spengler, Brigit.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Literary Spinoffs: Rewriting the Classics - Re-Imagining the Community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Campus Verlag GmbH, 2015.</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Worton Michael, Judith Still.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Intertextuality: Theories and Practices.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Manchester University Press, 1990.</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Plett, Heinrich F..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Intertextuality.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Walter de Gruyter, 1991.</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uzupełniająca</w:t>
            </w:r>
          </w:p>
        </w:tc>
      </w:tr>
      <w:tr>
        <w:trPr>
          <w:cantSplit w:val="0"/>
          <w:trHeight w:val="26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Barry, P. Beginning Theory. An Introduction to Literary and Cultural Theory.</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Cooley, L., Lewkowicz, J. Dissertation Writing in Practice. Turning Ideas into Text.</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Cottrell, S. Critical Thinking Skills. Developing Effective Analysis and Argument.</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Dobie, A. B. Theory into Practice. An Introduction to Literary Criticism.</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Bauman, Richard.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World of Other's Words: Cross Cultural Perspectives on Intertextuality.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Wiley-Blackwell, 2004.</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Baron, Scarlet.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Birth of Intertextuality: the Riddle of Intertextuality.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Routledge, 2019.</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Bloom. Harold.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Anxiety of Influence.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Oxford UP, 1997.</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S. Eliot.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Sacred Wood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(fragmenty)</w:t>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hd w:fill="auto" w:val="clear"/>
      <w:tabs>
        <w:tab w:val="center" w:pos="4536"/>
        <w:tab w:val="right" w:pos="9072"/>
        <w:tab w:val="right" w:pos="9046"/>
      </w:tabs>
      <w:spacing w:after="200" w:line="276" w:lineRule="auto"/>
      <w:jc w:val="right"/>
      <w:rPr/>
    </w:pPr>
    <w:r w:rsidDel="00000000" w:rsidR="00000000" w:rsidRPr="00000000">
      <w:rPr>
        <w:i w:val="1"/>
        <w:color w:val="000000"/>
        <w:sz w:val="22"/>
        <w:szCs w:val="22"/>
        <w:rtl w:val="0"/>
      </w:rPr>
      <w:t xml:space="preserve">Załącznik nr. 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b w:val="1"/>
        <w:smallCaps w:val="0"/>
        <w:strike w:val="0"/>
        <w:vertAlign w:val="baseline"/>
      </w:rPr>
    </w:lvl>
    <w:lvl w:ilvl="1">
      <w:start w:val="1"/>
      <w:numFmt w:val="lowerLetter"/>
      <w:lvlText w:val="%2."/>
      <w:lvlJc w:val="left"/>
      <w:pPr>
        <w:ind w:left="0" w:firstLine="0"/>
      </w:pPr>
      <w:rPr>
        <w:b w:val="1"/>
        <w:smallCaps w:val="0"/>
        <w:strike w:val="0"/>
        <w:vertAlign w:val="baseline"/>
      </w:rPr>
    </w:lvl>
    <w:lvl w:ilvl="2">
      <w:start w:val="1"/>
      <w:numFmt w:val="lowerRoman"/>
      <w:lvlText w:val="%1.%2.%3."/>
      <w:lvlJc w:val="left"/>
      <w:pPr>
        <w:ind w:left="0" w:firstLine="0"/>
      </w:pPr>
      <w:rPr>
        <w:b w:val="1"/>
        <w:smallCaps w:val="0"/>
        <w:strike w:val="0"/>
        <w:vertAlign w:val="baseline"/>
      </w:rPr>
    </w:lvl>
    <w:lvl w:ilvl="3">
      <w:start w:val="1"/>
      <w:numFmt w:val="decimal"/>
      <w:lvlText w:val="%1.%2.%3.%4."/>
      <w:lvlJc w:val="left"/>
      <w:pPr>
        <w:ind w:left="0" w:firstLine="0"/>
      </w:pPr>
      <w:rPr>
        <w:b w:val="1"/>
        <w:smallCaps w:val="0"/>
        <w:strike w:val="0"/>
        <w:vertAlign w:val="baseline"/>
      </w:rPr>
    </w:lvl>
    <w:lvl w:ilvl="4">
      <w:start w:val="1"/>
      <w:numFmt w:val="lowerLetter"/>
      <w:lvlText w:val="%1.%2.%3.%4.%5."/>
      <w:lvlJc w:val="left"/>
      <w:pPr>
        <w:ind w:left="0" w:firstLine="0"/>
      </w:pPr>
      <w:rPr>
        <w:b w:val="1"/>
        <w:smallCaps w:val="0"/>
        <w:strike w:val="0"/>
        <w:vertAlign w:val="baseline"/>
      </w:rPr>
    </w:lvl>
    <w:lvl w:ilvl="5">
      <w:start w:val="1"/>
      <w:numFmt w:val="lowerRoman"/>
      <w:lvlText w:val="%1.%2.%3.%4.%5.%6."/>
      <w:lvlJc w:val="left"/>
      <w:pPr>
        <w:ind w:left="0" w:firstLine="0"/>
      </w:pPr>
      <w:rPr>
        <w:b w:val="1"/>
        <w:smallCaps w:val="0"/>
        <w:strike w:val="0"/>
        <w:vertAlign w:val="baseline"/>
      </w:rPr>
    </w:lvl>
    <w:lvl w:ilvl="6">
      <w:start w:val="1"/>
      <w:numFmt w:val="decimal"/>
      <w:lvlText w:val="%1.%2.%3.%4.%5.%6.%7."/>
      <w:lvlJc w:val="left"/>
      <w:pPr>
        <w:ind w:left="0" w:firstLine="0"/>
      </w:pPr>
      <w:rPr>
        <w:b w:val="1"/>
        <w:smallCaps w:val="0"/>
        <w:strike w:val="0"/>
        <w:vertAlign w:val="baseline"/>
      </w:rPr>
    </w:lvl>
    <w:lvl w:ilvl="7">
      <w:start w:val="1"/>
      <w:numFmt w:val="lowerLetter"/>
      <w:lvlText w:val="%1.%2.%3.%4.%5.%6.%7.%8."/>
      <w:lvlJc w:val="left"/>
      <w:pPr>
        <w:ind w:left="0" w:firstLine="0"/>
      </w:pPr>
      <w:rPr>
        <w:b w:val="1"/>
        <w:smallCaps w:val="0"/>
        <w:strike w:val="0"/>
        <w:vertAlign w:val="baseline"/>
      </w:rPr>
    </w:lvl>
    <w:lvl w:ilvl="8">
      <w:start w:val="1"/>
      <w:numFmt w:val="lowerRoman"/>
      <w:lvlText w:val="%1.%2.%3.%4.%5.%6.%7.%8.%9."/>
      <w:lvlJc w:val="left"/>
      <w:pPr>
        <w:ind w:left="0" w:firstLine="0"/>
      </w:pPr>
      <w:rPr>
        <w:b w:val="1"/>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lang w:val="en-US"/>
      </w:rPr>
    </w:rPrDefault>
    <w:pPrDefault>
      <w:pP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Times New Roman" w:cs="Times New Roman" w:eastAsia="Times New Roman" w:hAnsi="Times New Roman"/>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80" w:before="280" w:line="240" w:lineRule="auto"/>
      <w:ind w:left="0" w:right="0" w:firstLine="0"/>
      <w:jc w:val="left"/>
    </w:pPr>
    <w:rPr>
      <w:rFonts w:ascii="Times New Roman" w:cs="Times New Roman" w:eastAsia="Times New Roman" w:hAnsi="Times New Roman"/>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40" w:line="240" w:lineRule="auto"/>
      <w:ind w:left="0" w:right="0" w:firstLine="0"/>
      <w:jc w:val="left"/>
    </w:pPr>
    <w:rPr>
      <w:rFonts w:ascii="Times New Roman" w:cs="Times New Roman" w:eastAsia="Times New Roman" w:hAnsi="Times New Roman"/>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20" w:line="240" w:lineRule="auto"/>
      <w:ind w:left="0" w:right="0" w:firstLine="0"/>
      <w:jc w:val="left"/>
    </w:pPr>
    <w:rPr>
      <w:rFonts w:ascii="Times New Roman" w:cs="Times New Roman" w:eastAsia="Times New Roman" w:hAnsi="Times New Roman"/>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00" w:line="240" w:lineRule="auto"/>
      <w:ind w:left="0" w:right="0" w:firstLine="0"/>
      <w:jc w:val="left"/>
    </w:pPr>
    <w:rPr>
      <w:rFonts w:ascii="Times New Roman" w:cs="Times New Roman" w:eastAsia="Times New Roman" w:hAnsi="Times New Roman"/>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tandard" w:customStyle="1">
    <w:name w:val="Standard"/>
    <w:pPr>
      <w:spacing w:after="200" w:line="276" w:lineRule="auto"/>
    </w:pPr>
    <w:rPr>
      <w:rFonts w:ascii="Calibri" w:cs="Calibri" w:eastAsia="Calibri" w:hAnsi="Calibri"/>
      <w:color w:val="000000"/>
      <w:sz w:val="22"/>
      <w:szCs w:val="22"/>
      <w:lang w:bidi="ar-SA" w:eastAsia="en-US" w:val="en-US"/>
    </w:rPr>
  </w:style>
  <w:style w:type="paragraph" w:styleId="Heading" w:customStyle="1">
    <w:name w:val="Heading"/>
    <w:basedOn w:val="Standard"/>
    <w:next w:val="Textbody"/>
    <w:pPr>
      <w:keepNext w:val="1"/>
      <w:spacing w:after="120" w:before="240"/>
    </w:pPr>
    <w:rPr>
      <w:rFonts w:ascii="Arial" w:cs="Arial" w:eastAsia="Microsoft YaHei" w:hAnsi="Arial"/>
      <w:sz w:val="28"/>
      <w:szCs w:val="28"/>
    </w:rPr>
  </w:style>
  <w:style w:type="paragraph" w:styleId="Textbody" w:customStyle="1">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val="1"/>
      <w:spacing w:after="120" w:before="120"/>
    </w:pPr>
    <w:rPr>
      <w:rFonts w:cs="Arial"/>
      <w:i w:val="1"/>
      <w:iCs w:val="1"/>
      <w:sz w:val="24"/>
      <w:szCs w:val="24"/>
    </w:rPr>
  </w:style>
  <w:style w:type="paragraph" w:styleId="Index" w:customStyle="1">
    <w:name w:val="Index"/>
    <w:basedOn w:val="Standard"/>
    <w:pPr>
      <w:suppressLineNumbers w:val="1"/>
    </w:pPr>
    <w:rPr>
      <w:rFonts w:cs="Arial"/>
    </w:rPr>
  </w:style>
  <w:style w:type="paragraph" w:styleId="Nagwek">
    <w:name w:val="header"/>
    <w:basedOn w:val="Standard"/>
    <w:pPr>
      <w:suppressLineNumbers w:val="1"/>
      <w:tabs>
        <w:tab w:val="center" w:pos="4536"/>
        <w:tab w:val="right" w:pos="9072"/>
      </w:tabs>
      <w:spacing w:after="0" w:line="240" w:lineRule="auto"/>
    </w:p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Akapitzlist">
    <w:name w:val="List Paragraph"/>
    <w:pPr>
      <w:spacing w:after="200" w:line="276" w:lineRule="auto"/>
      <w:ind w:left="720"/>
    </w:pPr>
    <w:rPr>
      <w:rFonts w:ascii="Calibri" w:cs="Calibri" w:eastAsia="Calibri" w:hAnsi="Calibri"/>
      <w:color w:val="000000"/>
      <w:sz w:val="22"/>
      <w:szCs w:val="22"/>
    </w:rPr>
  </w:style>
  <w:style w:type="paragraph" w:styleId="Default" w:customStyle="1">
    <w:name w:val="Default"/>
    <w:rPr>
      <w:rFonts w:ascii="Helvetica Neue" w:cs="Arial Unicode MS" w:hAnsi="Helvetica Neue"/>
      <w:color w:val="000000"/>
      <w:sz w:val="22"/>
      <w:szCs w:val="22"/>
    </w:rPr>
  </w:style>
  <w:style w:type="paragraph" w:styleId="TableStyle2" w:customStyle="1">
    <w:name w:val="Table Style 2"/>
    <w:rPr>
      <w:rFonts w:ascii="Helvetica Neue" w:cs="Arial Unicode MS" w:hAnsi="Helvetica Neue"/>
      <w:color w:val="000000"/>
      <w:lang w:val="en-US"/>
    </w:rPr>
  </w:style>
  <w:style w:type="paragraph" w:styleId="Stopka">
    <w:name w:val="foot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Internetlink" w:customStyle="1">
    <w:name w:val="Internet link"/>
    <w:rPr>
      <w:color w:val="000080"/>
      <w:u w:val="single"/>
    </w:rPr>
  </w:style>
  <w:style w:type="character" w:styleId="ListLabel1" w:customStyle="1">
    <w:name w:val="ListLabel 1"/>
    <w:rPr>
      <w:b w:val="1"/>
      <w:bCs w:val="1"/>
      <w:caps w:val="0"/>
      <w:smallCaps w:val="0"/>
      <w:strike w:val="0"/>
      <w:dstrike w:val="0"/>
      <w:outline w:val="0"/>
      <w:emboss w:val="0"/>
      <w:imprint w:val="0"/>
      <w:spacing w:val="0"/>
      <w:w w:val="100"/>
      <w:kern w:val="3"/>
      <w:position w:val="0"/>
      <w:vertAlign w:val="baseline"/>
    </w:rPr>
  </w:style>
  <w:style w:type="character" w:styleId="ListLabel2" w:customStyle="1">
    <w:name w:val="ListLabel 2"/>
    <w:rPr>
      <w:caps w:val="0"/>
      <w:smallCaps w:val="0"/>
      <w:strike w:val="0"/>
      <w:dstrike w:val="0"/>
      <w:outline w:val="0"/>
      <w:emboss w:val="0"/>
      <w:imprint w:val="0"/>
      <w:spacing w:val="0"/>
      <w:w w:val="100"/>
      <w:kern w:val="3"/>
      <w:position w:val="0"/>
      <w:vertAlign w:val="baseline"/>
    </w:rPr>
  </w:style>
  <w:style w:type="character" w:styleId="None" w:customStyle="1">
    <w:name w:val="None"/>
  </w:style>
  <w:style w:type="numbering" w:styleId="WWNum1" w:customStyle="1">
    <w:name w:val="WWNum1"/>
    <w:basedOn w:val="Bezlisty"/>
    <w:pPr>
      <w:numPr>
        <w:numId w:val="1"/>
      </w:numPr>
    </w:pPr>
  </w:style>
  <w:style w:type="numbering" w:styleId="WWNum2" w:customStyle="1">
    <w:name w:val="WWNum2"/>
    <w:basedOn w:val="Bezlisty"/>
    <w:pPr>
      <w:numPr>
        <w:numId w:val="2"/>
      </w:numPr>
    </w:pPr>
  </w:style>
  <w:style w:type="numbering" w:styleId="WWNum3" w:customStyle="1">
    <w:name w:val="WWNum3"/>
    <w:basedOn w:val="Bezlisty"/>
    <w:pPr>
      <w:numPr>
        <w:numId w:val="3"/>
      </w:numPr>
    </w:pPr>
  </w:style>
  <w:style w:type="numbering" w:styleId="WWNum4" w:customStyle="1">
    <w:name w:val="WWNum4"/>
    <w:basedOn w:val="Bezlisty"/>
    <w:pPr>
      <w:numPr>
        <w:numId w:val="4"/>
      </w:numPr>
    </w:pPr>
  </w:style>
  <w:style w:type="numbering" w:styleId="WWNum5" w:customStyle="1">
    <w:name w:val="WWNum5"/>
    <w:basedOn w:val="Bezlisty"/>
    <w:pPr>
      <w:numPr>
        <w:numId w:val="5"/>
      </w:numPr>
    </w:pPr>
  </w:style>
  <w:style w:type="numbering" w:styleId="WWNum6" w:customStyle="1">
    <w:name w:val="WWNum6"/>
    <w:basedOn w:val="Bezlisty"/>
    <w:pPr>
      <w:numPr>
        <w:numId w:val="6"/>
      </w:numPr>
    </w:pPr>
  </w:style>
  <w:style w:type="numbering" w:styleId="WWNum7" w:customStyle="1">
    <w:name w:val="WWNum7"/>
    <w:basedOn w:val="Bezlisty"/>
    <w:pPr>
      <w:numPr>
        <w:numId w:val="7"/>
      </w:numPr>
    </w:pPr>
  </w:style>
  <w:style w:type="numbering" w:styleId="WWNum8" w:customStyle="1">
    <w:name w:val="WWNum8"/>
    <w:basedOn w:val="Bezlisty"/>
    <w:pPr>
      <w:numPr>
        <w:numId w:val="8"/>
      </w:numPr>
    </w:pPr>
  </w:style>
  <w:style w:type="numbering" w:styleId="WWNum9" w:customStyle="1">
    <w:name w:val="WWNum9"/>
    <w:basedOn w:val="Bezlisty"/>
    <w:pPr>
      <w:numPr>
        <w:numId w:val="9"/>
      </w:numPr>
    </w:pPr>
  </w:style>
  <w:style w:type="numbering" w:styleId="WWNum10" w:customStyle="1">
    <w:name w:val="WWNum10"/>
    <w:basedOn w:val="Bezlisty"/>
    <w:pPr>
      <w:numPr>
        <w:numId w:val="10"/>
      </w:numPr>
    </w:pPr>
  </w:style>
  <w:style w:type="numbering" w:styleId="WWNum11" w:customStyle="1">
    <w:name w:val="WWNum11"/>
    <w:basedOn w:val="Bezlisty"/>
    <w:pPr>
      <w:numPr>
        <w:numId w:val="11"/>
      </w:numPr>
    </w:pPr>
  </w:style>
  <w:style w:type="table" w:styleId="TableNormal" w:customStyle="1">
    <w:name w:val="Table Normal"/>
    <w:rsid w:val="00237C2A"/>
    <w:pPr>
      <w:pBdr>
        <w:top w:space="0" w:sz="0" w:val="nil"/>
        <w:left w:space="0" w:sz="0" w:val="nil"/>
        <w:bottom w:space="0" w:sz="0" w:val="nil"/>
        <w:right w:space="0" w:sz="0" w:val="nil"/>
        <w:between w:space="0" w:sz="0" w:val="nil"/>
        <w:bar w:space="0" w:sz="0" w:val="nil"/>
      </w:pBdr>
      <w:shd w:color="auto" w:fill="auto" w:val="clear"/>
      <w:autoSpaceDN w:val="1"/>
      <w:textAlignment w:val="auto"/>
    </w:pPr>
    <w:rPr>
      <w:color w:val="auto"/>
      <w:kern w:val="0"/>
      <w:bdr w:space="0" w:sz="0" w:val="nil"/>
      <w:lang w:bidi="ar-SA" w:eastAsia="pl-PL"/>
    </w:rPr>
    <w:tblPr>
      <w:tblInd w:w="0.0" w:type="dxa"/>
      <w:tblCellMar>
        <w:top w:w="0.0" w:type="dxa"/>
        <w:left w:w="0.0" w:type="dxa"/>
        <w:bottom w:w="0.0" w:type="dxa"/>
        <w:right w:w="0.0" w:type="dxa"/>
      </w:tblCellMar>
    </w:tblPr>
  </w:style>
  <w:style w:type="paragraph" w:styleId="Body" w:customStyle="1">
    <w:name w:val="Body"/>
    <w:rsid w:val="00237C2A"/>
    <w:pPr>
      <w:pBdr>
        <w:top w:space="0" w:sz="0" w:val="nil"/>
        <w:left w:space="0" w:sz="0" w:val="nil"/>
        <w:bottom w:space="0" w:sz="0" w:val="nil"/>
        <w:right w:space="0" w:sz="0" w:val="nil"/>
        <w:between w:space="0" w:sz="0" w:val="nil"/>
        <w:bar w:space="0" w:sz="0" w:val="nil"/>
      </w:pBdr>
      <w:shd w:color="auto" w:fill="auto" w:val="clear"/>
      <w:autoSpaceDN w:val="1"/>
      <w:spacing w:after="200" w:line="276" w:lineRule="auto"/>
      <w:textAlignment w:val="auto"/>
    </w:pPr>
    <w:rPr>
      <w:rFonts w:ascii="Calibri" w:cs="Calibri" w:eastAsia="Calibri" w:hAnsi="Calibri"/>
      <w:color w:val="000000"/>
      <w:kern w:val="0"/>
      <w:sz w:val="22"/>
      <w:szCs w:val="22"/>
      <w:u w:color="000000"/>
      <w:bdr w:space="0" w:sz="0" w:val="nil"/>
      <w:lang w:bidi="ar-SA"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2">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3">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4">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5">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6">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7">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8">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9">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 w:type="table" w:styleId="Table10">
    <w:basedOn w:val="TableNormal"/>
    <w:pPr>
      <w:pBdr>
        <w:top w:space="0" w:sz="0" w:val="nil"/>
        <w:left w:space="0" w:sz="0" w:val="nil"/>
        <w:bottom w:space="0" w:sz="0" w:val="nil"/>
        <w:right w:space="0" w:sz="0" w:val="nil"/>
        <w:between w:space="0" w:sz="0" w:val="nil"/>
      </w:pBdr>
      <w:shd w:fill="auto" w:val="clear"/>
    </w:pPr>
    <w:rPr>
      <w:color w:val="000000"/>
    </w:r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PluJLGYo1yjnPjuTK/G81KILg==">AMUW2mUYoT0902KMX60EkyLjOreUWzPDnWi3Avf9iRnDyQcdZ0zX0UM5IrhEiWSWCshfnl7ZaT3G6XMQHzjQL5J8JVlAJt64hFdwQ8WQx9u3j4K4UOePAB7m23YY6zMwG50eSmXPi+c7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2021-09-22T06:23:00Z</dcterms:created>
  <dc:creator>Krzysztof Skórski</dc:creator>
</cp:coreProperties>
</file>