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133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73"/>
        <w:gridCol w:w="4660"/>
        <w:tblGridChange w:id="0">
          <w:tblGrid>
            <w:gridCol w:w="4473"/>
            <w:gridCol w:w="4660"/>
          </w:tblGrid>
        </w:tblGridChange>
      </w:tblGrid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amerykańska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American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0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Dominika Bugno-Narecka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65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66"/>
        <w:gridCol w:w="2267"/>
        <w:gridCol w:w="2267"/>
        <w:gridCol w:w="2265"/>
        <w:tblGridChange w:id="0">
          <w:tblGrid>
            <w:gridCol w:w="2266"/>
            <w:gridCol w:w="2267"/>
            <w:gridCol w:w="2267"/>
            <w:gridCol w:w="2265"/>
          </w:tblGrid>
        </w:tblGridChange>
      </w:tblGrid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zajęć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semestr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Punkty ECTS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c0504d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V-VI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0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234"/>
        <w:gridCol w:w="6976"/>
        <w:tblGridChange w:id="0">
          <w:tblGrid>
            <w:gridCol w:w="2234"/>
            <w:gridCol w:w="6976"/>
          </w:tblGrid>
        </w:tblGridChange>
      </w:tblGrid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Dobra znajomość języka angielskiego (B2/B2+), podstawowe umiejętności w zakresie academic writing, podstawowa znajomość teorii literatury, pewne doświadczenie w zakresie analizy i interpretacji tekstów literackich.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13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C1 Napisanie przez każdego z uczestników seminarium pracy licencjackiej. Zasadniczo prace rozpatrują wybrane zagadnienia literaturoznawcze (np. sposób prowadzenia narracji, zastosowanie metafikcji czy magicznego realizmu) w wybranych utworach literatury amerykańskiej. Szczegółowy zakres tematów określa prowadzący seminarium. Studenci wybierają temat i przedstawiają go prowadzącemu do zatwierdzenia.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C2 Pogłębienie znajomości współczesnej literatury amerykańskiej oraz problematyki literaturoznawczej, lepsze zrozumienie problematyki metodologii nauk humanistycznych (w szczególności literaturoznawstwa).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C3 Doskonalenie rozumienia oraz krytycznej oceny wartości prac krytycznoliterackich oraz zdolności analizy i interpretacji tekstów literackich.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C4 Doskonalenie umiejętności współpracy z innymi uczestnikami seminarium (tj. formułowania i korzystania z konstruktywnej krytyki), oraz pogłębienie technicznych (warsztatowych) umiejętności pisania prac naukowych (wybór tematu, przygotowanie projektu, wybór metody, gromadzenie bibliografii, sporządzanie przypisów, itd.) oraz przejrzystego, zwięzłego, logicznego i językowo poprawnego przedstawienia wyników badań.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623.999999999998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29"/>
        <w:gridCol w:w="5573"/>
        <w:gridCol w:w="2022"/>
        <w:tblGridChange w:id="0">
          <w:tblGrid>
            <w:gridCol w:w="1029"/>
            <w:gridCol w:w="5573"/>
            <w:gridCol w:w="2022"/>
          </w:tblGrid>
        </w:tblGridChange>
      </w:tblGrid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179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0" w:lineRule="auto"/>
              <w:ind w:left="0" w:right="9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 współczesne teorie badań literaturoznawczych oraz potrafi przedstawić metodologię badań wybranych szkół badawczych.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rozpoznaje zaawansowane metody analizy i interpretacji literatury właściwe dla badania literatury amerykańskiej.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rozróżnia podstawowe pojęcia i zasady z zakresu ochrony własności intelektualnej i prawa autorskiego.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precyzyjnie i poprawnie logicznie i językowo wyraża swoje myśli i poglądy w piśmie w języku angielskim używając specjalistycznej terminologii oraz odpowiedniego rejestru.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K_U04, K_U05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analizuje i ocenia przydatność danej teorii w interpretacji wybranych utworów z zakresu tematyki seminarium.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K_U01, K_U07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dobiera metody badawcze pozwalające na rozwiązanie problemów w zakresie tematyki seminarium.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samodzielnie zdobywa wiedzę i poszerza umiejętno-ści badawcze oraz planuje działania mające na celu realizację założeń seminarium.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K_U09, K_U08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wyjaśnia i uzasadnia decyzje podejmowane w procesie pisania pracy licencjackiej oraz zachowuje otwartość na sugestie prowadzącego seminarium.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K_K01, K_K02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ocenia znaczenie języka angielskiego i utworów literatury amerykańskiej w kulturze europejskiej i światowej oraz dąży do ich popularyzowania.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dba o zachowanie norm etycznych związanych z pracą naukową i zawodową.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K_K05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87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87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53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Ponieważ celem przedmiotu jest napisanie pracy licencjackiej, kurs składa się z dwóch przeplatających się części. W pierwszej części pracujemy nad formą, tj. warsztatem naukowym, czyli: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gromadzenie, ewaluacja i selekcja materiału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sformułowanie tematu i tezy badawcze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struktura pracy licencjackiej - od akapitu do pełnej pracy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plagiat i jak go uniknąć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wykorzystanie źródeł (MLA, cytaty, przypisy, bibliografia, itd.)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drugiej części skupimy się na zawartości pracy. Szczegółowe tematy omawiane w ramach seminarium obejmują zagadnienia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wybrane i przedstawione przez uczestników seminarium.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drugim semestrze spotkania poświęcone są analizie projektów i prac pisanych przez uczestników seminarium oraz omawianiu teoretycznych zagadnień albo problemów dotyczących analizy lub interpretacji utworów związanych ze szczegółowymi tematami wybranymi przez uczestników seminarium.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48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200" w:before="0" w:line="240" w:lineRule="auto"/>
        <w:ind w:left="432" w:right="0" w:hanging="43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6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81"/>
        <w:gridCol w:w="2652"/>
        <w:gridCol w:w="2789"/>
        <w:gridCol w:w="2544"/>
        <w:tblGridChange w:id="0">
          <w:tblGrid>
            <w:gridCol w:w="1081"/>
            <w:gridCol w:w="2652"/>
            <w:gridCol w:w="2789"/>
            <w:gridCol w:w="2544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wykład konwersatoryjny, praca badawcza pod kierunkiem,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tutoring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5.0" w:type="dxa"/>
              <w:bottom w:w="80.0" w:type="dxa"/>
              <w:right w:w="118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20" w:lineRule="auto"/>
              <w:ind w:left="85" w:right="3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zwrotna, prezentacja/referat,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34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20" w:lineRule="auto"/>
              <w:ind w:left="91" w:right="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fragmenty pracy dyplomowej/oceniony plik z prezentacją/zapis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tekstem,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wykład konwersatoryjny, praca badawcza pod kierunkiem, tutoring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5.0" w:type="dxa"/>
              <w:bottom w:w="80.0" w:type="dxa"/>
              <w:right w:w="118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0" w:lineRule="auto"/>
              <w:ind w:left="85" w:right="3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zwrotna, prezentacja/referat,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34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20" w:lineRule="auto"/>
              <w:ind w:left="91" w:right="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fragmenty pracy dyplomowej/oceniony plik z prezentacją/zapis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z tekstem,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wykład konwersatoryjny, praca badawcza pod kierunkiem,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tutoring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5.0" w:type="dxa"/>
              <w:bottom w:w="80.0" w:type="dxa"/>
              <w:right w:w="11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0" w:lineRule="auto"/>
              <w:ind w:left="85" w:right="3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zwrotna, prezentacja/referat,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34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20" w:lineRule="auto"/>
              <w:ind w:left="91" w:right="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fragmenty pracy dyplomowej/oceniony plik z prezentacją/zapis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0.0" w:type="dxa"/>
              <w:bottom w:w="80.0" w:type="dxa"/>
              <w:right w:w="118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80" w:right="3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tekstu, dyskusja, praca badawcza pod kierunkiem, tu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toring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5.0" w:type="dxa"/>
              <w:bottom w:w="80.0" w:type="dxa"/>
              <w:right w:w="101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0" w:lineRule="auto"/>
              <w:ind w:left="85" w:right="2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zwrotna, prezentacja/referat,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34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20" w:lineRule="auto"/>
              <w:ind w:left="91" w:right="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fragmenty pracy dyplomowej/oceniony plik z prezentacją/zapis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0.0" w:type="dxa"/>
              <w:bottom w:w="80.0" w:type="dxa"/>
              <w:right w:w="118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80" w:right="3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tekstu, dyskusja, praca badawcza pod kierunkiem, tutoring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5.0" w:type="dxa"/>
              <w:bottom w:w="80.0" w:type="dxa"/>
              <w:right w:w="101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0" w:lineRule="auto"/>
              <w:ind w:left="85" w:right="2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zwrotna, prezentacja/referat,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34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20" w:lineRule="auto"/>
              <w:ind w:left="91" w:right="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fragmenty pracy dyplomowej/oceniony plik z prezentacją/zapis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0.0" w:type="dxa"/>
              <w:bottom w:w="80.0" w:type="dxa"/>
              <w:right w:w="118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80" w:right="3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tekstu, dyskusja, praca badawcza pod kierunkiem, tu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toring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5.0" w:type="dxa"/>
              <w:bottom w:w="80.0" w:type="dxa"/>
              <w:right w:w="101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6" w:line="220" w:lineRule="auto"/>
              <w:ind w:left="85" w:right="2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zwrotna, prezentacja/referat,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34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20" w:lineRule="auto"/>
              <w:ind w:left="91" w:right="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fragmenty pracy dyplomowej/oceniony plik z prezentacją/zapis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5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0.0" w:type="dxa"/>
              <w:bottom w:w="80.0" w:type="dxa"/>
              <w:right w:w="11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80" w:right="3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tekstu, dyskusja, praca badawcza pod kierunkiem, tutoring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5.0" w:type="dxa"/>
              <w:bottom w:w="80.0" w:type="dxa"/>
              <w:right w:w="101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0" w:lineRule="auto"/>
              <w:ind w:left="85" w:right="2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zwrotna, prezentacja/referat, 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34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20" w:lineRule="auto"/>
              <w:ind w:left="91" w:right="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fragmenty pracy dyplomowej/oceniony plik z prezentacją/zapis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0.0" w:type="dxa"/>
              <w:bottom w:w="80.0" w:type="dxa"/>
              <w:right w:w="23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1" w:line="220" w:lineRule="auto"/>
              <w:ind w:left="80" w:right="15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Rozmowa sokratyczna, dyskusja, tu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toring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34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20" w:lineRule="auto"/>
              <w:ind w:left="91" w:right="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fragmenty pracy dyplomowej/zapis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0.0" w:type="dxa"/>
              <w:bottom w:w="80.0" w:type="dxa"/>
              <w:right w:w="23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0" w:lineRule="auto"/>
              <w:ind w:left="80" w:right="15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Rozmowa sokratyczna, dyskusja, metoda projektu, tutoring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34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20" w:lineRule="auto"/>
              <w:ind w:left="91" w:right="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fragmenty pracy dyplomowej/zapis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60.0" w:type="dxa"/>
              <w:bottom w:w="80.0" w:type="dxa"/>
              <w:right w:w="23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20" w:lineRule="auto"/>
              <w:ind w:left="80" w:right="15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Rozmowa sokratyczna, dyskusja, metoda projektu, tu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toring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Obserwacja, Monitorowanie i informacja zwrotna, prezentacja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71.0" w:type="dxa"/>
              <w:bottom w:w="80.0" w:type="dxa"/>
              <w:right w:w="134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7" w:line="220" w:lineRule="auto"/>
              <w:ind w:left="91" w:right="5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Sprawdzone fragmenty pracy dyplomowej/zapis w arkuszu ocen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54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Semestr zimowy: warunkiem zaliczenia przedmiotu w semestrze zimowym jest uczestnictwo w zajęciach oraz przygotowanie do nich poprzez lekturę zadanych tekstów i opracowanie zadanych </w:t>
      </w:r>
      <w:r w:rsidDel="00000000" w:rsidR="00000000" w:rsidRPr="00000000">
        <w:rPr>
          <w:sz w:val="22"/>
          <w:szCs w:val="22"/>
          <w:rtl w:val="0"/>
        </w:rPr>
        <w:t xml:space="preserve">ćwiczeń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Ponadto zaliczenie otrzymuje student, który przedstawi na zajęciach temat pracy licencjackiej, jej dokładny plan</w:t>
      </w:r>
      <w:r w:rsidDel="00000000" w:rsidR="00000000" w:rsidRPr="00000000">
        <w:rPr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wstępną bibliografię i pierwsze 3 strony </w:t>
      </w:r>
      <w:r w:rsidDel="00000000" w:rsidR="00000000" w:rsidRPr="00000000">
        <w:rPr>
          <w:sz w:val="22"/>
          <w:szCs w:val="22"/>
          <w:rtl w:val="0"/>
        </w:rPr>
        <w:t xml:space="preserve">pracy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54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Semestr letni: warunkiem zaliczenia przedmiotu jest napisanie pracy licencjackiej.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54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VII. Obciążenie pracą studenta</w:t>
      </w:r>
    </w:p>
    <w:tbl>
      <w:tblPr>
        <w:tblStyle w:val="Table9"/>
        <w:tblW w:w="8946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74"/>
        <w:gridCol w:w="4472"/>
        <w:tblGridChange w:id="0">
          <w:tblGrid>
            <w:gridCol w:w="4474"/>
            <w:gridCol w:w="4472"/>
          </w:tblGrid>
        </w:tblGridChange>
      </w:tblGrid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64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Wybór (szczegółowy wykaz dostarcza każdorazowo prowadzący seminarium):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Fowler, H. Ramsey.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Little, Brown Handbook.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Boston, Toronto: Little, Brown and Company, 1980.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Graff, Gerald, and Cathy Birkenstein.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They say/I say: The Moves that Matter in Academic Writing.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New York, London: W.W. Norton &amp; Company, 2006.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Jordan, R.R.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Academic Writing Course: Study Skills in English.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Longman 2003.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- Meyer, M.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The Little, Brown Guide to Writing Research Papers.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Boston, Toronto: Little, Brown and Company, 1982.</w:t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 zależności od opracowywanego tematu, literatura czytana przez studentów, konieczna do napisania pracy licencjackiej.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24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2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3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4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5">
    <w:lvl w:ilvl="0">
      <w:start w:val="1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abstractNum w:abstractNumId="7">
    <w:lvl w:ilvl="0">
      <w:start w:val="7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53" w:hanging="482.0000000000009"/>
      </w:pPr>
      <w:rPr>
        <w:b w:val="1"/>
        <w:smallCaps w:val="0"/>
        <w:strike w:val="0"/>
        <w:sz w:val="24"/>
        <w:szCs w:val="24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_0">
    <w:name w:val="Normal_0"/>
    <w:next w:val="Normal_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ffffff"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vertAlign w:val="baseline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mqAYevxtREq1ds3mMP/5eRuO+g==">AMUW2mV2AcgOFADBEdrCcuJCUJda5TgzDFODrOC4hEc9fea0NE7n3ezIIhfnmwq+u5xVWG9yyAaPPsOQiYdkDGAWzABkNDe5WTXl4IV0a/2OgwrruP9JN+4=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