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Cykl kształcenia od roku akademickiego: 2020/21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169.0" w:type="dxa"/>
        <w:jc w:val="left"/>
        <w:tblInd w:w="75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474"/>
        <w:gridCol w:w="4695"/>
        <w:tblGridChange w:id="0">
          <w:tblGrid>
            <w:gridCol w:w="4474"/>
            <w:gridCol w:w="4695"/>
          </w:tblGrid>
        </w:tblGridChange>
      </w:tblGrid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Made in Britain: teksty przełomowych idei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 w języku angielskim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Made in Britain: key texts of British intellectual history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Kierunek studiów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Filologia angielska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studiów (I, II, jednolite magisterskie)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studiów (stacjonarne, niestacjonarne)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stacjonarne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Dyscyplina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Literaturoznawstwo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wykładowy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angielski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2.0" w:type="dxa"/>
        <w:jc w:val="left"/>
        <w:tblInd w:w="75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Koordynator przedmiotu/osoba odpowiedzialna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Anna Antonowicz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8" w:right="0" w:hanging="64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12.0" w:type="dxa"/>
        <w:jc w:val="left"/>
        <w:tblInd w:w="75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303"/>
        <w:gridCol w:w="2303"/>
        <w:gridCol w:w="2303"/>
        <w:gridCol w:w="2303"/>
        <w:tblGridChange w:id="0">
          <w:tblGrid>
            <w:gridCol w:w="2303"/>
            <w:gridCol w:w="2303"/>
            <w:gridCol w:w="2303"/>
            <w:gridCol w:w="2303"/>
          </w:tblGrid>
        </w:tblGridChange>
      </w:tblGrid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Punkty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konwersatorium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laboratorium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warsztaty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lektorat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praktyki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terenowe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pracownia dyplomowa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translatorium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wizyta studyjna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8" w:right="0" w:hanging="64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12.0" w:type="dxa"/>
        <w:jc w:val="left"/>
        <w:tblInd w:w="75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235"/>
        <w:gridCol w:w="6977"/>
        <w:tblGridChange w:id="0">
          <w:tblGrid>
            <w:gridCol w:w="2235"/>
            <w:gridCol w:w="6977"/>
          </w:tblGrid>
        </w:tblGridChange>
      </w:tblGrid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Wymagania wstępne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Znajomość historii politycznej, literackiej i kulturowej Wielkiej Brytanii; umiejętność analizy i interpretacji tekstów kulturowych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8" w:right="0" w:hanging="64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212.0" w:type="dxa"/>
        <w:jc w:val="left"/>
        <w:tblInd w:w="75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C1 kurs ma celu analizę i interpretację myśli i idei brytyjskich pisarzy, krytyków i działaczy ery nowoczesności od epoki Oświecenia po czasy dzisiejsze.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C2 poznanie i analiza kontekstu historycznego, społecznego i kulturowego idei, sposobów formułowania myśli i koncepcji oraz ich wpływu na kulturę i politykę Wielkiej Brytanii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C3 poznanie i analiza powiązań między przełomowymi tekstami brytyjskich myślicieli i autorów ze zjawiskami i charakterem kultury brytyjskiej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3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9066.0" w:type="dxa"/>
        <w:jc w:val="left"/>
        <w:tblInd w:w="75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082"/>
        <w:gridCol w:w="5858"/>
        <w:gridCol w:w="2126"/>
        <w:tblGridChange w:id="0">
          <w:tblGrid>
            <w:gridCol w:w="1082"/>
            <w:gridCol w:w="5858"/>
            <w:gridCol w:w="2126"/>
          </w:tblGrid>
        </w:tblGridChange>
      </w:tblGrid>
      <w:tr>
        <w:trPr>
          <w:cantSplit w:val="0"/>
          <w:trHeight w:val="7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 efektu przedmiotowego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Odniesienie do efektu kierunkowego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opisuje podstawowe metody analizy i interpretacji omawianych wytworów brytyjskiej kultury intelektualnej, właściwe dla wybranych tradycji i okresu historycznego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K_W04</w:t>
            </w:r>
          </w:p>
        </w:tc>
      </w:tr>
      <w:tr>
        <w:trPr>
          <w:cantSplit w:val="0"/>
          <w:trHeight w:val="12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wskazuje na powiązania studiowanych testów kultury z innymi dyscyplinami naukowymi (w tym filozofii, ekonomii, etyki, nauk społecznych), pozwalającym na integrowanie perspektyw właściwych dla analizy omawianych tekstów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K_W07 </w:t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orientuje się we współczesnym instytucjach, społecznych mechanizmach i życiu kulturalnym Wielkiej Brytanii odnoszących się do omawianych tekstów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K_W07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identyfikuje oraz opisuje w języku angielskim charakterystyczne cechy światopoglądu i stylu wypowiedzi poszczególnych tekstów omawianych autorów.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shd w:fill="auto" w:val="clear"/>
              <w:tabs>
                <w:tab w:val="left" w:pos="720"/>
                <w:tab w:val="left" w:pos="1440"/>
              </w:tabs>
              <w:spacing w:after="0" w:before="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K_U07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przeprowadza krytyczną analizę i interpretację tekstów w celu określenia ich znaczeń i miejsca w procesie historyczno-kulturowym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K_U01</w:t>
            </w:r>
          </w:p>
        </w:tc>
      </w:tr>
      <w:tr>
        <w:trPr>
          <w:cantSplit w:val="0"/>
          <w:trHeight w:val="13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ma samodzielnie rozwija swoje kompetencje analityczne i wiedzę o omawianych autorach i tekstach, w które został wyposażony w trakcie zajęć, i jest gotów do wykorzystania nabytej wiedzy podczas testu semestralnego.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K_U09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zachowuje otwartość wobec testów kultury brytyjskich z różnych okresów historycznych i ich znaczenia w historii kultury zachodniej.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K_K04</w:t>
            </w:r>
          </w:p>
        </w:tc>
      </w:tr>
    </w:tbl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356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9212.0" w:type="dxa"/>
        <w:jc w:val="left"/>
        <w:tblInd w:w="75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47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Zajęcia organizacyjne: zakres materiału, forma egzaminu, cele kursu 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Po co nam wolność w demokracji? - J. S. Mill: “Liberty of Thought and Discussion” 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Utylitaryzm: nowoczena teoria dobra i zła- Jeremy Bentham: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 Introduction to the Principles of Morals and Legislation 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Idea pracy i brytyjski socjalizm: czym się różni praca od znoju?- William Morris: „Useful Work Versus Useless Toil”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Edukacja domowa + portret dżentelmena - Samuel Smiles,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Self-Help, with illustrations of character and conduct 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 Emancypacja kobiet + strategia walki o prawa - Emmeline Pankhurst, “Freedom or Death”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 Formy nacjonalizmu - George Orwell: “Notes on Nationalism”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 Obcy/Inny/Imigracja - Enoch Powell: “Rivers of Blood”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9. Człowiek nowoczesny wobec przyrody/zwierząt - John Berger: “Why look at animals”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10. Nowoczesność i religia - Richard Dawkins, “The Roots of Religion” / debaty telewizyjne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11. Zaliczenia ustne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3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</w:t>
      </w:r>
    </w:p>
    <w:tbl>
      <w:tblPr>
        <w:tblStyle w:val="Table8"/>
        <w:tblW w:w="9066.0" w:type="dxa"/>
        <w:jc w:val="left"/>
        <w:tblInd w:w="75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082"/>
        <w:gridCol w:w="2648"/>
        <w:gridCol w:w="2789"/>
        <w:gridCol w:w="2547"/>
        <w:tblGridChange w:id="0">
          <w:tblGrid>
            <w:gridCol w:w="1082"/>
            <w:gridCol w:w="2648"/>
            <w:gridCol w:w="2789"/>
            <w:gridCol w:w="2547"/>
          </w:tblGrid>
        </w:tblGridChange>
      </w:tblGrid>
      <w:tr>
        <w:trPr>
          <w:cantSplit w:val="0"/>
          <w:trHeight w:val="5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 efektu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Miniwykład wprowadzający/ wyjaśnienie poszczególnych zagadnień,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 Power Point,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Kolokwium ustne Odpowiedź ustna/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Ocenione zaliczenie ustne /zapis w protokole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aktywności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Miniwykład wprowadzający/ wyjaśnienie poszczególnych zagadnień,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 Power Point,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Kolokwium ustne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ustna/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Ocenione zaliczenie ustne /zapis w protokole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aktywności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Miniwykład wprowadzający/ wyjaśnienie poszczególnych zagadnień,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 Power Point,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Kolokwium ustne Odpowiedź ustna/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Ocenione zaliczenie ustne /zapis w protokole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aktywności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 Power Point,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Burza mózgów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Kolokwium ustne Odpowiedź ustna/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Ocenione zaliczenie ustne /zapis w protokole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aktywności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 Power Point,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Burza mózgów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Kolokwium ustne Odpowiedź ustna/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Ocenione zaliczenie ustne /zapis w protokole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aktywności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 Power Point,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Burza mózgów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Kolokwium ustne Odpowiedź ustna/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Ocenione zaliczenie ustne /zapis w protokole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aktywności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z tekstem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aktywności w arkuszu ocen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3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wagi…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936" w:right="0" w:hanging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Ocena końcowa: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    Frekwencja - ilość dozwolonych nieobecności: 3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2.    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rzygotowanie do zajęć, aktywny udział w dyskusji, analiza i interpretacja omawianych tekstów na zajęciach (20%):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 aktywny udział w zajęciach student dostaje plusa: 4-6 plusów &gt; pół oceny w górę; 7 i więcej plusów &gt; ocena w górę. </w:t>
      </w:r>
      <w:r w:rsidDel="00000000" w:rsidR="00000000" w:rsidRPr="00000000">
        <w:rPr>
          <w:sz w:val="22"/>
          <w:szCs w:val="22"/>
          <w:rtl w:val="0"/>
        </w:rPr>
        <w:t xml:space="preserve">Powtarzające się nieprzygotowanie (2-3 razy) do zajęć będzie odnotowane i wpłynie na ocenę końcową.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936" w:right="0" w:hanging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 kolokwium ustne - rozpoznanie autora i tytułu dzieła na podstawie cytatu, analiza i interpretacja dwóch z trzech wylosowanych cytatów – (80%)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VII.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Obciążenie pracą studenta</w:t>
      </w:r>
    </w:p>
    <w:tbl>
      <w:tblPr>
        <w:tblStyle w:val="Table9"/>
        <w:tblW w:w="8948.0" w:type="dxa"/>
        <w:jc w:val="left"/>
        <w:tblInd w:w="75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474"/>
        <w:gridCol w:w="4474"/>
        <w:tblGridChange w:id="0">
          <w:tblGrid>
            <w:gridCol w:w="4474"/>
            <w:gridCol w:w="4474"/>
          </w:tblGrid>
        </w:tblGridChange>
      </w:tblGrid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aktywności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kontaktowych z nauczycielem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indywidualnej pracy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0"/>
        <w:tblW w:w="9212.0" w:type="dxa"/>
        <w:jc w:val="left"/>
        <w:tblInd w:w="75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podstawowa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J. S. Mill: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Liberty of Thought and Discussion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Jeremy Bentham: 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 Introduction to the Principles of Morals and Legislation 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William Morris: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Useful Work Versus Useless Toil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Samuel Smiles,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Self-Help, with illustrations of character and conduct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Emmeline Pankhurst, “Freedom or Death” speech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 George Orwell: “Notes on Nationalism”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 Enoch Powell: “Rivers of Blood” speach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 John Berger: “Why look at animals”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9. Richard Dawkins: “The Roots of Religion”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uzupełniająca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Stefan Collini, Richard Whatmore and Brian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Young, British Intellectual History 1750-1950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vol.1 Economy, Polity and Society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Stefan Collini, Richard Whatmore and Brian Young,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British Intellectual History 1750-1950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vol.2 History, Religion and Culture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7">
    <w:pPr>
      <w:spacing w:after="200" w:line="276" w:lineRule="auto"/>
      <w:jc w:val="righ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i w:val="1"/>
        <w:sz w:val="22"/>
        <w:szCs w:val="22"/>
        <w:rtl w:val="0"/>
      </w:rPr>
      <w:t xml:space="preserve">Załącznik nr.5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200" w:before="0" w:line="276" w:lineRule="auto"/>
      <w:ind w:left="0" w:right="0" w:firstLine="0"/>
      <w:jc w:val="left"/>
      <w:outlineLvl w:val="9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200" w:before="0" w:line="276" w:lineRule="auto"/>
      <w:ind w:left="720" w:right="0" w:firstLine="0"/>
      <w:jc w:val="left"/>
      <w:outlineLvl w:val="9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200" w:before="0" w:line="276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vertAlign w:val="baseline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YDtG+oHT3YLtXrf4ySs8Wln9Dw==">AMUW2mVzDdiEsfZcIfkIgUDICtet4ZR35xWfib0YJ/IhxzIPvpq5Rb+/NCXiM49mDO/bT422FK8gAl47z+nU58vYhG1/Zf3mTpAPHKmBfDrQdgNed/8OzKE=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