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KARTA PRZEDMIOTU </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2021/22</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numPr>
          <w:ilvl w:val="0"/>
          <w:numId w:val="7"/>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Dane podstawowe</w:t>
      </w:r>
    </w:p>
    <w:tbl>
      <w:tblPr>
        <w:tblStyle w:val="Table1"/>
        <w:tblW w:w="9066.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7"/>
        <w:gridCol w:w="4519"/>
        <w:tblGridChange w:id="0">
          <w:tblGrid>
            <w:gridCol w:w="4547"/>
            <w:gridCol w:w="4519"/>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przedmiotu w języku angielskim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Literary studies (seminar)</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Kierunek studiów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filologia angielska</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Poziom studiów (I, II, jednolite magisterskie)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studiów (stacjonarne, niestacjonarne)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stacjonarne</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Dyscyplina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literaturoznawstwo</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wykładowy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Język angielski</w:t>
            </w:r>
          </w:p>
        </w:tc>
      </w:tr>
    </w:tbl>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tbl>
      <w:tblPr>
        <w:tblStyle w:val="Table2"/>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48"/>
        <w:gridCol w:w="4514"/>
        <w:tblGridChange w:id="0">
          <w:tblGrid>
            <w:gridCol w:w="4548"/>
            <w:gridCol w:w="451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Koordynator przedmiotu/osoba odpowiedzialna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hab. J. Teske, prof. KUL</w:t>
            </w:r>
          </w:p>
        </w:tc>
      </w:tr>
    </w:tbl>
    <w:p w:rsidR="00000000" w:rsidDel="00000000" w:rsidP="00000000" w:rsidRDefault="00000000" w:rsidRPr="00000000" w14:paraId="00000016">
      <w:pPr>
        <w:widowControl w:val="0"/>
        <w:spacing w:after="0" w:line="240" w:lineRule="auto"/>
        <w:rPr>
          <w:rFonts w:ascii="Times New Roman" w:cs="Times New Roman" w:eastAsia="Times New Roman" w:hAnsi="Times New Roman"/>
        </w:rPr>
      </w:pPr>
      <w:r w:rsidDel="00000000" w:rsidR="00000000" w:rsidRPr="00000000">
        <w:rPr>
          <w:rtl w:val="0"/>
        </w:rPr>
      </w:r>
    </w:p>
    <w:tbl>
      <w:tblPr>
        <w:tblStyle w:val="Table3"/>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85"/>
        <w:gridCol w:w="2258"/>
        <w:gridCol w:w="2261"/>
        <w:gridCol w:w="2258"/>
        <w:tblGridChange w:id="0">
          <w:tblGrid>
            <w:gridCol w:w="2285"/>
            <w:gridCol w:w="2258"/>
            <w:gridCol w:w="2261"/>
            <w:gridCol w:w="2258"/>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zajęć</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Punkty ECTS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wykład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konwersatorium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ćwiczenia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warsztaty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I-IV</w:t>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lektorat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praktyki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zajęcia terenowe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pracownia dyplomowa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translatorium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wizyta studyjna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tl w:val="0"/>
        </w:rPr>
      </w:r>
    </w:p>
    <w:tbl>
      <w:tblPr>
        <w:tblStyle w:val="Table4"/>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216"/>
        <w:gridCol w:w="6846"/>
        <w:tblGridChange w:id="0">
          <w:tblGrid>
            <w:gridCol w:w="2216"/>
            <w:gridCol w:w="6846"/>
          </w:tblGrid>
        </w:tblGridChange>
      </w:tblGrid>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Wymagania wstępne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Poziom jezyka angielskiego B2+/C1. P</w:t>
            </w:r>
            <w:r w:rsidDel="00000000" w:rsidR="00000000" w:rsidRPr="00000000">
              <w:rPr>
                <w:rFonts w:ascii="Times New Roman" w:cs="Times New Roman" w:eastAsia="Times New Roman" w:hAnsi="Times New Roman"/>
                <w:rtl w:val="0"/>
              </w:rPr>
              <w:t xml:space="preserve">odstawowe umiejętności analizy i interpretacji tekstu narracyjnego (terminologia, zasady interpretacji, itp.), podstawowa znajomość literatury anglojęzycznej. Podstawowe umiejętności w zakresie </w:t>
            </w:r>
            <w:r w:rsidDel="00000000" w:rsidR="00000000" w:rsidRPr="00000000">
              <w:rPr>
                <w:rFonts w:ascii="Times New Roman" w:cs="Times New Roman" w:eastAsia="Times New Roman" w:hAnsi="Times New Roman"/>
                <w:i w:val="1"/>
                <w:rtl w:val="0"/>
              </w:rPr>
              <w:t xml:space="preserve">academic writing.</w:t>
            </w:r>
            <w:r w:rsidDel="00000000" w:rsidR="00000000" w:rsidRPr="00000000">
              <w:rPr>
                <w:rtl w:val="0"/>
              </w:rPr>
            </w:r>
          </w:p>
        </w:tc>
      </w:tr>
    </w:tbl>
    <w:p w:rsidR="00000000" w:rsidDel="00000000" w:rsidP="00000000" w:rsidRDefault="00000000" w:rsidRPr="00000000" w14:paraId="00000052">
      <w:pPr>
        <w:widowControl w:val="0"/>
        <w:spacing w:after="0" w:line="240" w:lineRule="auto"/>
        <w:ind w:left="2"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1"/>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Cele kształcenia dla przedmiotu </w:t>
      </w:r>
    </w:p>
    <w:tbl>
      <w:tblPr>
        <w:tblStyle w:val="Table5"/>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Podstawowy cel to napisanie przez każdego z uczestników seminarium pracy magisterskiej. Prace rozpatrują wybrane zagadnienia literaturoznawcze w obrębie tematyki seminarium.</w:t>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 Zaawansowana znajomość literatury angielskiej oraz problematyki literaturoznawczej, oraz dobra znajomość problematyki metodologii nauk humanistycznych (w szczególności literaturoznawstwa).</w:t>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C3 Umiejętność krytycznego czytania prac krytycznoliterackich oraz zdolność analizy i interpretacji tekstów literackich.</w:t>
            </w:r>
          </w:p>
        </w:tc>
      </w:tr>
      <w:tr>
        <w:trPr>
          <w:cantSplit w:val="0"/>
          <w:trHeight w:val="12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C4 Dobra umiejętność  współpracy z innymi uczestnikami seminarium (tj. formułowania i korzystania z konstruktywnej krytyki), oraz dobre techniczne (warsztatowe) umiejętności pisania prac naukowych (wybór tematu, przygotowanie projektu, wybór metody, gromadzenie bibliografii, sporządzanie przypisów itd.) oraz przejrzystego i zwięzłego, logicznego i językowo poprawnego przedstawienia wyników badań.</w:t>
            </w:r>
          </w:p>
        </w:tc>
      </w:tr>
    </w:tbl>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numPr>
          <w:ilvl w:val="0"/>
          <w:numId w:val="2"/>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Efekty uczenia się dla przedmiotu wraz z odniesieniem do efektów kierunkowych</w:t>
      </w:r>
    </w:p>
    <w:tbl>
      <w:tblPr>
        <w:tblStyle w:val="Table6"/>
        <w:tblW w:w="88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68"/>
        <w:gridCol w:w="5685"/>
        <w:gridCol w:w="2087"/>
        <w:tblGridChange w:id="0">
          <w:tblGrid>
            <w:gridCol w:w="1068"/>
            <w:gridCol w:w="5685"/>
            <w:gridCol w:w="2087"/>
          </w:tblGrid>
        </w:tblGridChange>
      </w:tblGrid>
      <w:tr>
        <w:trPr>
          <w:cantSplit w:val="0"/>
          <w:trHeight w:val="6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Opis efektu przedmiotowego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Odniesienie do efektu kierunkowego</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12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zna literaturę anglojęzyczną w zakresie objętym tematyką seminarium: wymienia autorów i tytuły ich pracy, podaje charakterystykę tematyki i formy j tych prac oraz wyjaśnia podstawowe idee teorii literatury w zakresie objętym tematyką 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tabs>
                <w:tab w:val="left" w:pos="720"/>
                <w:tab w:val="left" w:pos="14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K_W07</w:t>
            </w:r>
          </w:p>
        </w:tc>
      </w:tr>
      <w:tr>
        <w:trPr>
          <w:cantSplit w:val="0"/>
          <w:trHeight w:val="11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wyjaśnia  problematykę metodologii badań głównych szkół badawczych w ramach literaturoznawstwa, charakteryzuje zaawansowane metody analizy i interpretacji różnych tekstów literackich oraz zasady konstruowania projektów badawczych.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K_W02, K_W04</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przedstawia i wyjaśnia zasady przywoływania myśli i słów  innych autorów.</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K_W09</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9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formułuje z pomocą promotora problem badawczy, wybiera metodę i wyszukuje odpowiedni materiał empiryczny, a następnie stosuje wybraną metodę w samodzielnej analizie.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tabs>
                <w:tab w:val="left" w:pos="720"/>
                <w:tab w:val="left" w:pos="14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K_U02</w:t>
            </w:r>
          </w:p>
        </w:tc>
      </w:tr>
      <w:tr>
        <w:trPr>
          <w:cantSplit w:val="0"/>
          <w:trHeight w:val="130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posługuje się poprawnie literaturoznawczą terminologią w języku angielskim.  Precyzyjnie i logicznie posługuje się językiem akademickim, przedstawiając swoje analizy i interpretacje współczesnej literatury, w tym wyniki swoich badań.</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K_U04, K_U05</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krytycznie czyta teksty krytycznoliterackie. Trafnie ocenia ich wartość naukową i uzasadnia tę ocenę.</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K_U07</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Strudent poszerza swoją wiedzę na temat literatury anglojęzycznej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K_U09</w:t>
            </w:r>
          </w:p>
        </w:tc>
      </w:tr>
      <w:tr>
        <w:trPr>
          <w:cantSplit w:val="0"/>
          <w:trHeight w:val="28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wymienia się konstruktywnymi wskazówkami dotyczącymi projektów badawczych z innymi uczestnikami seminarium.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tabs>
                <w:tab w:val="left" w:pos="720"/>
                <w:tab w:val="left" w:pos="14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K_K01, K_K02</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szanuje zasady i normy etyczne obowiązujące w badaniach naukowych.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K_K06</w:t>
            </w:r>
          </w:p>
        </w:tc>
      </w:tr>
    </w:tbl>
    <w:p w:rsidR="00000000" w:rsidDel="00000000" w:rsidP="00000000" w:rsidRDefault="00000000" w:rsidRPr="00000000" w14:paraId="00000081">
      <w:pPr>
        <w:spacing w:line="240" w:lineRule="auto"/>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numPr>
          <w:ilvl w:val="0"/>
          <w:numId w:val="4"/>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Opis przedmiotu/ treści programowe</w:t>
      </w:r>
    </w:p>
    <w:tbl>
      <w:tblPr>
        <w:tblStyle w:val="Table7"/>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49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I </w:t>
            </w:r>
            <w:r w:rsidDel="00000000" w:rsidR="00000000" w:rsidRPr="00000000">
              <w:rPr>
                <w:rFonts w:ascii="Times New Roman" w:cs="Times New Roman" w:eastAsia="Times New Roman" w:hAnsi="Times New Roman"/>
                <w:rtl w:val="0"/>
              </w:rPr>
              <w:t xml:space="preserve">Wprowadzenie do kursu. Zapoznanie ze specyfiką pracy magisterskiej z dziedziny literaturoznawstwa. Ćwiczenia z warsztatu pisania pracy naukowej: problem plagiatu, kryteria oceny pracy naukowej, znaczenie metody naukowej i opisu stanu badań, zasady zbierania materiałów, organizacja pracy, itp. Ćwiczenia z parafrazowania i streszczania. Przegląd metod badawczych związanych z tematem seminarium. Wybór tematu pracy dyplomowej.</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2 </w:t>
            </w:r>
            <w:r w:rsidDel="00000000" w:rsidR="00000000" w:rsidRPr="00000000">
              <w:rPr>
                <w:rFonts w:ascii="Times New Roman" w:cs="Times New Roman" w:eastAsia="Times New Roman" w:hAnsi="Times New Roman"/>
                <w:rtl w:val="0"/>
              </w:rPr>
              <w:t xml:space="preserve">Seminaria w tym semestrze poświęcone są  analizie pierwszych (teoretycznych) rozdziałów prac pisanych przez uczestników seminarium oraz omawianiu teoretycznych zagadnień związanych ze szczegółowymi tematami prac wybranymi przez uczestników seminarium.</w:t>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3 </w:t>
            </w:r>
            <w:r w:rsidDel="00000000" w:rsidR="00000000" w:rsidRPr="00000000">
              <w:rPr>
                <w:rFonts w:ascii="Times New Roman" w:cs="Times New Roman" w:eastAsia="Times New Roman" w:hAnsi="Times New Roman"/>
                <w:rtl w:val="0"/>
              </w:rPr>
              <w:t xml:space="preserve">Seminaria w tym semestrze poświęcone są  dyskusjom nad analizami/interpretacjami  tekstów i redakcją  drugich  rozdziałów prac pisanych przez uczestników seminarium oraz omawianiu innych zagadnień związanych ze szczegółowymi tematami prac wybranymi przez uczestników seminarium.</w:t>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Semestr 4 </w:t>
            </w:r>
            <w:r w:rsidDel="00000000" w:rsidR="00000000" w:rsidRPr="00000000">
              <w:rPr>
                <w:rFonts w:ascii="Times New Roman" w:cs="Times New Roman" w:eastAsia="Times New Roman" w:hAnsi="Times New Roman"/>
                <w:rtl w:val="0"/>
              </w:rPr>
              <w:t xml:space="preserve">Seminaria w tym semestrze poświęcone są  dyskusjom nad analizami/interpretacjami  tekstów i redakcją  trzecich rozdziałów prac pisanych przez uczestników seminarium oraz omawianiu innych zagadnień związanych ze szczegółowymi tematami prac wybranymi przez uczestników seminarium. Pod koniec tego semestru studenci piszą wstęp, zakończenie,  streszczenie pracy w języku polskim, robią korektę całego tekstu włącznie z bibliografią.</w:t>
            </w:r>
          </w:p>
        </w:tc>
      </w:tr>
    </w:tbl>
    <w:p w:rsidR="00000000" w:rsidDel="00000000" w:rsidP="00000000" w:rsidRDefault="00000000" w:rsidRPr="00000000" w14:paraId="00000087">
      <w:pPr>
        <w:widowControl w:val="0"/>
        <w:pBdr>
          <w:top w:space="0" w:sz="0" w:val="nil"/>
        </w:pBdr>
        <w:spacing w:line="240" w:lineRule="auto"/>
        <w:ind w:left="108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numPr>
          <w:ilvl w:val="0"/>
          <w:numId w:val="6"/>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Metody realizacji i weryfikacji efektów uczenia się </w:t>
      </w:r>
    </w:p>
    <w:tbl>
      <w:tblPr>
        <w:tblStyle w:val="Table8"/>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 efektu</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dydaktyczne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Metody weryfikacji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Sposoby dokumentacji</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WIEDZA</w:t>
            </w:r>
          </w:p>
        </w:tc>
      </w:tr>
      <w:tr>
        <w:trPr>
          <w:cantSplit w:val="0"/>
          <w:trHeight w:val="17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p w:rsidR="00000000" w:rsidDel="00000000" w:rsidP="00000000" w:rsidRDefault="00000000" w:rsidRPr="00000000" w14:paraId="0000009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z tekstem</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9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74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A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6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UMIEJĘTNOŚCI</w:t>
            </w:r>
          </w:p>
        </w:tc>
      </w:tr>
      <w:tr>
        <w:trPr>
          <w:cantSplit w:val="0"/>
          <w:trHeight w:val="166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Mini-wykład</w:t>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66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7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C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C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r>
        <w:trPr>
          <w:cantSplit w:val="0"/>
          <w:trHeight w:val="19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U_04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 </w:t>
            </w:r>
          </w:p>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Odpowiedź ustna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spacing w:after="0" w:line="240" w:lineRule="auto"/>
        <w:rPr/>
      </w:pPr>
      <w:r w:rsidDel="00000000" w:rsidR="00000000" w:rsidRPr="00000000">
        <w:br w:type="page"/>
      </w:r>
      <w:r w:rsidDel="00000000" w:rsidR="00000000" w:rsidRPr="00000000">
        <w:rPr>
          <w:rtl w:val="0"/>
        </w:rPr>
      </w:r>
    </w:p>
    <w:tbl>
      <w:tblPr>
        <w:tblStyle w:val="Table9"/>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94"/>
        <w:gridCol w:w="2646"/>
        <w:gridCol w:w="2778"/>
        <w:gridCol w:w="2544"/>
        <w:tblGridChange w:id="0">
          <w:tblGrid>
            <w:gridCol w:w="1094"/>
            <w:gridCol w:w="2646"/>
            <w:gridCol w:w="2778"/>
            <w:gridCol w:w="2544"/>
          </w:tblGrid>
        </w:tblGridChange>
      </w:tblGrid>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KOMPETENCJE SPOŁECZNE</w:t>
            </w:r>
          </w:p>
        </w:tc>
      </w:tr>
      <w:tr>
        <w:trPr>
          <w:cantSplit w:val="0"/>
          <w:trHeight w:val="13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Dyskusja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na seminarium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Zapis w arkuszu ocen</w:t>
            </w:r>
          </w:p>
        </w:tc>
      </w:tr>
      <w:tr>
        <w:trPr>
          <w:cantSplit w:val="0"/>
          <w:trHeight w:val="16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K_02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badawcza pod kierunkiem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Monitorowanie pracy pisemnej i informacja zwrotna od prowadzącego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Dokumentacja z kolejnych etapów pracy nad pracą magisterską przedstawiana przez studentów </w:t>
            </w:r>
          </w:p>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magisterska</w:t>
            </w:r>
          </w:p>
        </w:tc>
      </w:tr>
    </w:tbl>
    <w:p w:rsidR="00000000" w:rsidDel="00000000" w:rsidP="00000000" w:rsidRDefault="00000000" w:rsidRPr="00000000" w14:paraId="000000E7">
      <w:pPr>
        <w:spacing w:line="240" w:lineRule="auto"/>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numPr>
          <w:ilvl w:val="0"/>
          <w:numId w:val="3"/>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Kryteria oceny, wagi…</w:t>
      </w:r>
    </w:p>
    <w:p w:rsidR="00000000" w:rsidDel="00000000" w:rsidP="00000000" w:rsidRDefault="00000000" w:rsidRPr="00000000" w14:paraId="000000E9">
      <w:pPr>
        <w:spacing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Podstawowe kryteria oceny to aktywne uczestnictwo w seminarium, co oznacza realizację zadań wyznaczonych przez promotora, które mają przygotować seminarzystów do pisania pracy magisterskiej, oraz praca nad własnym projektem badawczym. Ostatecznym warunkiem zaliczenia seminarium jest oddanie pracy magisterskiej na koniec  IV semestru. </w:t>
      </w:r>
    </w:p>
    <w:p w:rsidR="00000000" w:rsidDel="00000000" w:rsidP="00000000" w:rsidRDefault="00000000" w:rsidRPr="00000000" w14:paraId="000000EA">
      <w:pPr>
        <w:numPr>
          <w:ilvl w:val="0"/>
          <w:numId w:val="3"/>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Obciążenie pracą studenta</w:t>
      </w:r>
    </w:p>
    <w:tbl>
      <w:tblPr>
        <w:tblStyle w:val="Table10"/>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38"/>
        <w:gridCol w:w="4524"/>
        <w:tblGridChange w:id="0">
          <w:tblGrid>
            <w:gridCol w:w="4538"/>
            <w:gridCol w:w="4524"/>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 aktywności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kontaktowych z nauczycielem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godzin indywidualnej pracy studenta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r>
    </w:tbl>
    <w:p w:rsidR="00000000" w:rsidDel="00000000" w:rsidP="00000000" w:rsidRDefault="00000000" w:rsidRPr="00000000" w14:paraId="000000F1">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numPr>
          <w:ilvl w:val="0"/>
          <w:numId w:val="5"/>
        </w:numPr>
        <w:spacing w:line="240" w:lineRule="auto"/>
        <w:ind w:left="108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Literatura</w:t>
      </w:r>
    </w:p>
    <w:tbl>
      <w:tblPr>
        <w:tblStyle w:val="Table11"/>
        <w:tblW w:w="9062.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62"/>
        <w:tblGridChange w:id="0">
          <w:tblGrid>
            <w:gridCol w:w="9062"/>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podstawowa</w:t>
            </w:r>
          </w:p>
        </w:tc>
      </w:tr>
      <w:tr>
        <w:trPr>
          <w:cantSplit w:val="0"/>
          <w:trHeight w:val="41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spacing w:after="0" w:line="240" w:lineRule="auto"/>
              <w:jc w:val="both"/>
              <w:rPr>
                <w:rFonts w:ascii="Times New Roman" w:cs="Times New Roman" w:eastAsia="Times New Roman" w:hAnsi="Times New Roman"/>
                <w:color w:val="1a1718"/>
                <w:u w:val="none"/>
              </w:rPr>
            </w:pPr>
            <w:r w:rsidDel="00000000" w:rsidR="00000000" w:rsidRPr="00000000">
              <w:rPr>
                <w:rFonts w:ascii="Times New Roman" w:cs="Times New Roman" w:eastAsia="Times New Roman" w:hAnsi="Times New Roman"/>
                <w:color w:val="1a1718"/>
                <w:u w:val="none"/>
                <w:rtl w:val="0"/>
              </w:rPr>
              <w:t xml:space="preserve">Podana poniżej lista literatury, oprócz podręczników pisania akademickiego, ma przykładowy charakter; dobór tekstów zależy od problematyki seminarium w danym roku i tematów prac magisterskich</w:t>
            </w:r>
          </w:p>
          <w:p w:rsidR="00000000" w:rsidDel="00000000" w:rsidP="00000000" w:rsidRDefault="00000000" w:rsidRPr="00000000" w14:paraId="000000F5">
            <w:pPr>
              <w:spacing w:after="0" w:line="240" w:lineRule="auto"/>
              <w:ind w:left="708" w:hanging="708"/>
              <w:jc w:val="both"/>
              <w:rPr>
                <w:rFonts w:ascii="Times New Roman" w:cs="Times New Roman" w:eastAsia="Times New Roman" w:hAnsi="Times New Roman"/>
                <w:color w:val="1a1718"/>
                <w:u w:val="none"/>
              </w:rPr>
            </w:pPr>
            <w:r w:rsidDel="00000000" w:rsidR="00000000" w:rsidRPr="00000000">
              <w:rPr>
                <w:rtl w:val="0"/>
              </w:rPr>
            </w:r>
          </w:p>
          <w:p w:rsidR="00000000" w:rsidDel="00000000" w:rsidP="00000000" w:rsidRDefault="00000000" w:rsidRPr="00000000" w14:paraId="00000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Barry, Peter. Beginning Theory: An Introduction to Literary and Cultural Theory. Manchester: Manchester University Press, 1995.</w:t>
            </w:r>
          </w:p>
          <w:p w:rsidR="00000000" w:rsidDel="00000000" w:rsidP="00000000" w:rsidRDefault="00000000" w:rsidRPr="00000000" w14:paraId="000000F7">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Bradford, Richard. The Novel Now: Contemporary British Fiction. Malden: Blackwell Publishing, 2007.</w:t>
            </w:r>
          </w:p>
          <w:p w:rsidR="00000000" w:rsidDel="00000000" w:rsidP="00000000" w:rsidRDefault="00000000" w:rsidRPr="00000000" w14:paraId="000000F8">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Connor, Steven. The English Novel in History:1950-1995. London: Routledge, 2001.</w:t>
            </w:r>
          </w:p>
          <w:p w:rsidR="00000000" w:rsidDel="00000000" w:rsidP="00000000" w:rsidRDefault="00000000" w:rsidRPr="00000000" w14:paraId="000000F9">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Currie, Mark. Postmodern Narrative Theory. London: Macmillan, 1998.</w:t>
            </w:r>
          </w:p>
          <w:p w:rsidR="00000000" w:rsidDel="00000000" w:rsidP="00000000" w:rsidRDefault="00000000" w:rsidRPr="00000000" w14:paraId="000000F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Gibaldi, J. MLA Handbook for Writers of Research Papers. New York, 2009.</w:t>
            </w:r>
          </w:p>
          <w:p w:rsidR="00000000" w:rsidDel="00000000" w:rsidP="00000000" w:rsidRDefault="00000000" w:rsidRPr="00000000" w14:paraId="000000FB">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Goring, Paul et al. Studying Literature: The Essential Companion. London: Arnold, 2001.</w:t>
            </w:r>
          </w:p>
          <w:p w:rsidR="00000000" w:rsidDel="00000000" w:rsidP="00000000" w:rsidRDefault="00000000" w:rsidRPr="00000000" w14:paraId="000000F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Hawthorn, Jeremy. Studying the Novel. Bloomsbury. 2010 .</w:t>
            </w:r>
          </w:p>
          <w:p w:rsidR="00000000" w:rsidDel="00000000" w:rsidP="00000000" w:rsidRDefault="00000000" w:rsidRPr="00000000" w14:paraId="000000FD">
            <w:pPr>
              <w:spacing w:after="0" w:line="240" w:lineRule="auto"/>
              <w:ind w:left="709" w:hanging="708"/>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Hayles, N. Katherine. Electronic Literature: New Horizons for the Literary. Notre Dame: University of Notre Dame Press, 2008.</w:t>
            </w:r>
          </w:p>
        </w:tc>
      </w:tr>
      <w:tr>
        <w:trPr>
          <w:cantSplit w:val="0"/>
          <w:trHeight w:val="585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Herman, David, Manfred Jahn, and Marie-Laure Ryan, eds. Routledge Encyclopedia of Narrative Theory. London: Routledge, 2005.</w:t>
            </w:r>
          </w:p>
          <w:p w:rsidR="00000000" w:rsidDel="00000000" w:rsidP="00000000" w:rsidRDefault="00000000" w:rsidRPr="00000000" w14:paraId="000000FF">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Hühn Peter, John Pier, Wolf Schmid, and Jörg Schönert. Handbook of Narratology. Berlin: Walter de Gruyter, 2009. </w:t>
            </w:r>
          </w:p>
          <w:p w:rsidR="00000000" w:rsidDel="00000000" w:rsidP="00000000" w:rsidRDefault="00000000" w:rsidRPr="00000000" w14:paraId="00000100">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Hutcheon, Linda. A Theory of Adaptation. New York: Routledge, 2006.</w:t>
            </w:r>
          </w:p>
          <w:p w:rsidR="00000000" w:rsidDel="00000000" w:rsidP="00000000" w:rsidRDefault="00000000" w:rsidRPr="00000000" w14:paraId="00000101">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Landow, George P. Hypertext 2.0: The Convergence of Contemporary Critical Theory and Technology. Baltimore: The Johns Hopkins University Press, 1997.</w:t>
            </w:r>
          </w:p>
          <w:p w:rsidR="00000000" w:rsidDel="00000000" w:rsidP="00000000" w:rsidRDefault="00000000" w:rsidRPr="00000000" w14:paraId="00000102">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Lund, Hans. Text as Picture: Studies in the Literary Transformation of Pictures. Trans. Kacke Götrick, Lampeter: The Edwin Mellen Press, 1992.</w:t>
            </w:r>
          </w:p>
          <w:p w:rsidR="00000000" w:rsidDel="00000000" w:rsidP="00000000" w:rsidRDefault="00000000" w:rsidRPr="00000000" w14:paraId="00000103">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McCloud, Scott. </w:t>
            </w:r>
            <w:r w:rsidDel="00000000" w:rsidR="00000000" w:rsidRPr="00000000">
              <w:rPr>
                <w:rFonts w:ascii="Times New Roman" w:cs="Times New Roman" w:eastAsia="Times New Roman" w:hAnsi="Times New Roman"/>
                <w:i w:val="1"/>
                <w:rtl w:val="0"/>
              </w:rPr>
              <w:t xml:space="preserve">Understanding Comics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William Morrow &amp; Co</w:t>
            </w:r>
            <w:r w:rsidDel="00000000" w:rsidR="00000000" w:rsidRPr="00000000">
              <w:rPr>
                <w:rFonts w:ascii="Times New Roman" w:cs="Times New Roman" w:eastAsia="Times New Roman" w:hAnsi="Times New Roman"/>
                <w:rtl w:val="0"/>
              </w:rPr>
              <w:t xml:space="preserve">, 1994.</w:t>
            </w:r>
          </w:p>
          <w:p w:rsidR="00000000" w:rsidDel="00000000" w:rsidP="00000000" w:rsidRDefault="00000000" w:rsidRPr="00000000" w14:paraId="00000104">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McFarlane, Brian. Novel to Film: An Introduction to the Theory of Adaptation. Oxford: Clarendon Press, 1996.</w:t>
            </w:r>
          </w:p>
          <w:p w:rsidR="00000000" w:rsidDel="00000000" w:rsidP="00000000" w:rsidRDefault="00000000" w:rsidRPr="00000000" w14:paraId="00000105">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Morrison, Jago. Contemporary Fiction. London: Routledge, 2003.</w:t>
            </w:r>
          </w:p>
          <w:p w:rsidR="00000000" w:rsidDel="00000000" w:rsidP="00000000" w:rsidRDefault="00000000" w:rsidRPr="00000000" w14:paraId="0000010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Mullan, John. How Novels Work. Oxford: Oxford University Press, 2006.  </w:t>
            </w:r>
          </w:p>
          <w:p w:rsidR="00000000" w:rsidDel="00000000" w:rsidP="00000000" w:rsidRDefault="00000000" w:rsidRPr="00000000" w14:paraId="000001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Rimmon-Kenan, Shlomith. Narrative Fiction: Contemporary Poetics. London: Routledge, 1999.</w:t>
            </w:r>
          </w:p>
          <w:p w:rsidR="00000000" w:rsidDel="00000000" w:rsidP="00000000" w:rsidRDefault="00000000" w:rsidRPr="00000000" w14:paraId="00000108">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Rivkin, Julie and Michael Ryan, eds. Literary Theory: An Anthology Oxford: Blackwell, 1998.</w:t>
            </w:r>
          </w:p>
          <w:p w:rsidR="00000000" w:rsidDel="00000000" w:rsidP="00000000" w:rsidRDefault="00000000" w:rsidRPr="00000000" w14:paraId="00000109">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Ryan, Marie-Laure. Avatars of Story. Minneapolis: University of Minnesota Press, 2006.</w:t>
            </w:r>
          </w:p>
          <w:p w:rsidR="00000000" w:rsidDel="00000000" w:rsidP="00000000" w:rsidRDefault="00000000" w:rsidRPr="00000000" w14:paraId="0000010A">
            <w:pPr>
              <w:spacing w:after="0" w:line="240" w:lineRule="auto"/>
              <w:ind w:left="709" w:hanging="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Sawa, Magdalena. “Your Encounter with Ekphrasis”, Roczniki Humanistyczne 5 (57), 2009, 97-121.</w:t>
            </w:r>
          </w:p>
          <w:p w:rsidR="00000000" w:rsidDel="00000000" w:rsidP="00000000" w:rsidRDefault="00000000" w:rsidRPr="00000000" w14:paraId="000001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Tew, Philip. The Contemporary British Novel. London: Continuum, 2004.</w:t>
            </w:r>
          </w:p>
          <w:p w:rsidR="00000000" w:rsidDel="00000000" w:rsidP="00000000" w:rsidRDefault="00000000" w:rsidRPr="00000000" w14:paraId="0000010C">
            <w:pPr>
              <w:spacing w:after="0"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Uspensky, Boris. 1983. A Poetics of Composition. The Structure of the Artistic Text and Typology of a Compositional Form. Trans. Valentina Zavarin and Susan Wittig. Berkley: University of California Press.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Literatura uzupełniająca</w:t>
            </w:r>
          </w:p>
        </w:tc>
      </w:tr>
      <w:tr>
        <w:trPr>
          <w:cantSplit w:val="0"/>
          <w:trHeight w:val="28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Bailey,  Stephen, Academic Writing: A Practical Guide for Students. London, 2004.</w:t>
            </w:r>
          </w:p>
          <w:p w:rsidR="00000000" w:rsidDel="00000000" w:rsidP="00000000" w:rsidRDefault="00000000" w:rsidRPr="00000000" w14:paraId="000001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Bateman JA. Text and image: a critical introduction to the visual-verbal divide. London: Routledge</w:t>
            </w:r>
          </w:p>
          <w:p w:rsidR="00000000" w:rsidDel="00000000" w:rsidP="00000000" w:rsidRDefault="00000000" w:rsidRPr="00000000" w14:paraId="000001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Bradbury, Malcolm. The Modern British Novel. London: Penguin, 1994.</w:t>
            </w:r>
          </w:p>
          <w:p w:rsidR="00000000" w:rsidDel="00000000" w:rsidP="00000000" w:rsidRDefault="00000000" w:rsidRPr="00000000" w14:paraId="000001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Burzyńska, Anna and Michał Paweł Markowski. Teorie Literatury XX wieku. Znak, 2006.</w:t>
            </w:r>
          </w:p>
          <w:p w:rsidR="00000000" w:rsidDel="00000000" w:rsidP="00000000" w:rsidRDefault="00000000" w:rsidRPr="00000000" w14:paraId="00000112">
            <w:p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Handbook of Intermediality. Literature – Image – Sound – Music. Ed. Gabriele Rippl. Berlin: De Gruyter 2015</w:t>
            </w:r>
          </w:p>
          <w:p w:rsidR="00000000" w:rsidDel="00000000" w:rsidP="00000000" w:rsidRDefault="00000000" w:rsidRPr="00000000" w14:paraId="00000113">
            <w:pPr>
              <w:tabs>
                <w:tab w:val="center" w:pos="4536"/>
                <w:tab w:val="right" w:pos="904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Kennedy, X. J. et al. The Bedford Guide for College Writers. 5th ed. Boston.</w:t>
            </w:r>
          </w:p>
          <w:p w:rsidR="00000000" w:rsidDel="00000000" w:rsidP="00000000" w:rsidRDefault="00000000" w:rsidRPr="00000000" w14:paraId="00000114">
            <w:pPr>
              <w:tabs>
                <w:tab w:val="center" w:pos="4536"/>
                <w:tab w:val="right" w:pos="904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Klarer, Mario. An Introduction to Literary Studies. London: Routledge, 2006.</w:t>
            </w:r>
          </w:p>
          <w:p w:rsidR="00000000" w:rsidDel="00000000" w:rsidP="00000000" w:rsidRDefault="00000000" w:rsidRPr="00000000" w14:paraId="00000115">
            <w:pPr>
              <w:tabs>
                <w:tab w:val="center" w:pos="4536"/>
                <w:tab w:val="right" w:pos="9046"/>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Krieger, Murray. 1992. “</w:t>
            </w:r>
            <w:r w:rsidDel="00000000" w:rsidR="00000000" w:rsidRPr="00000000">
              <w:rPr>
                <w:rFonts w:ascii="Times New Roman" w:cs="Times New Roman" w:eastAsia="Times New Roman" w:hAnsi="Times New Roman"/>
                <w:i w:val="1"/>
                <w:rtl w:val="0"/>
              </w:rPr>
              <w:t xml:space="preserve">Ekphrasis</w:t>
            </w:r>
            <w:r w:rsidDel="00000000" w:rsidR="00000000" w:rsidRPr="00000000">
              <w:rPr>
                <w:rFonts w:ascii="Times New Roman" w:cs="Times New Roman" w:eastAsia="Times New Roman" w:hAnsi="Times New Roman"/>
                <w:rtl w:val="0"/>
              </w:rPr>
              <w:t xml:space="preserve"> and the Still Movement of Poetry; or </w:t>
            </w:r>
            <w:r w:rsidDel="00000000" w:rsidR="00000000" w:rsidRPr="00000000">
              <w:rPr>
                <w:rFonts w:ascii="Times New Roman" w:cs="Times New Roman" w:eastAsia="Times New Roman" w:hAnsi="Times New Roman"/>
                <w:i w:val="1"/>
                <w:rtl w:val="0"/>
              </w:rPr>
              <w:t xml:space="preserve">Laokoön </w:t>
            </w:r>
            <w:r w:rsidDel="00000000" w:rsidR="00000000" w:rsidRPr="00000000">
              <w:rPr>
                <w:rFonts w:ascii="Times New Roman" w:cs="Times New Roman" w:eastAsia="Times New Roman" w:hAnsi="Times New Roman"/>
                <w:rtl w:val="0"/>
              </w:rPr>
              <w:t xml:space="preserve">Revisited” In      Ekphrasis: The Illusion of the Natural Sign Baltimore: Johns Hopkins University Press</w:t>
            </w:r>
          </w:p>
          <w:p w:rsidR="00000000" w:rsidDel="00000000" w:rsidP="00000000" w:rsidRDefault="00000000" w:rsidRPr="00000000" w14:paraId="0000011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Rennison, Nick. Contemporary British Novelists. London: Routledge, 2005.</w:t>
            </w:r>
          </w:p>
        </w:tc>
      </w:tr>
    </w:tbl>
    <w:p w:rsidR="00000000" w:rsidDel="00000000" w:rsidP="00000000" w:rsidRDefault="00000000" w:rsidRPr="00000000" w14:paraId="00000117">
      <w:pPr>
        <w:widowControl w:val="0"/>
        <w:spacing w:line="240" w:lineRule="auto"/>
        <w:ind w:left="1082" w:firstLine="0"/>
        <w:rPr>
          <w:rFonts w:ascii="Times New Roman" w:cs="Times New Roman" w:eastAsia="Times New Roman" w:hAnsi="Times New Roman"/>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tabs>
        <w:tab w:val="center" w:pos="4536"/>
        <w:tab w:val="right" w:pos="9046"/>
        <w:tab w:val="right" w:pos="904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pPr>
      <w:spacing w:after="200" w:line="276" w:lineRule="auto"/>
    </w:pPr>
    <w:rPr>
      <w:rFonts w:ascii="Calibri" w:cs="Calibri" w:eastAsia="Calibri" w:hAnsi="Calibri"/>
      <w:color w:val="000000"/>
      <w:sz w:val="22"/>
      <w:szCs w:val="22"/>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numbering" w:styleId="ImportedStyle1" w:customStyle="1">
    <w:name w:val="Imported Style 1"/>
    <w:pPr>
      <w:numPr>
        <w:numId w:val="1"/>
      </w:numPr>
    </w:pPr>
  </w:style>
  <w:style w:type="numbering" w:styleId="ImportedStyle3" w:customStyle="1">
    <w:name w:val="Imported Style 3"/>
    <w:pPr>
      <w:numPr>
        <w:numId w:val="4"/>
      </w:numPr>
    </w:pPr>
  </w:style>
  <w:style w:type="numbering" w:styleId="ImportedStyle4" w:customStyle="1">
    <w:name w:val="Imported Style 4"/>
    <w:pPr>
      <w:numPr>
        <w:numId w:val="8"/>
      </w:numPr>
    </w:pPr>
  </w:style>
  <w:style w:type="numbering" w:styleId="ImportedStyle6" w:customStyle="1">
    <w:name w:val="Imported Style 6"/>
    <w:pPr>
      <w:numPr>
        <w:numId w:val="11"/>
      </w:numPr>
    </w:pPr>
  </w:style>
  <w:style w:type="numbering" w:styleId="ImportedStyle7" w:customStyle="1">
    <w:name w:val="Imported Style 7"/>
    <w:pPr>
      <w:numPr>
        <w:numId w:val="15"/>
      </w:numPr>
    </w:pPr>
  </w:style>
  <w:style w:type="numbering" w:styleId="ImportedStyle8" w:customStyle="1">
    <w:name w:val="Imported Style 8"/>
    <w:pPr>
      <w:numPr>
        <w:numId w:val="19"/>
      </w:numPr>
    </w:pPr>
  </w:style>
  <w:style w:type="numbering" w:styleId="ImportedStyle9" w:customStyle="1">
    <w:name w:val="Imported Style 9"/>
    <w:pPr>
      <w:numPr>
        <w:numId w:val="23"/>
      </w:numPr>
    </w:pPr>
  </w:style>
  <w:style w:type="paragraph" w:styleId="Nagwek">
    <w:name w:val="header"/>
    <w:basedOn w:val="Normalny"/>
    <w:link w:val="NagwekZnak"/>
    <w:uiPriority w:val="99"/>
    <w:unhideWhenUsed w:val="1"/>
    <w:rsid w:val="001963F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1963F9"/>
    <w:rPr>
      <w:rFonts w:ascii="Calibri" w:cs="Calibri" w:eastAsia="Calibri" w:hAnsi="Calibri"/>
      <w:color w:val="000000"/>
      <w:sz w:val="22"/>
      <w:szCs w:val="22"/>
      <w:u w:color="000000"/>
    </w:rPr>
  </w:style>
  <w:style w:type="paragraph" w:styleId="Stopka">
    <w:name w:val="footer"/>
    <w:basedOn w:val="Normalny"/>
    <w:link w:val="StopkaZnak"/>
    <w:uiPriority w:val="99"/>
    <w:unhideWhenUsed w:val="1"/>
    <w:rsid w:val="001963F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963F9"/>
    <w:rPr>
      <w:rFonts w:ascii="Calibri" w:cs="Calibri" w:eastAsia="Calibri"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dqzdxSO9t1C09zcUS6zN+3QlA==">AMUW2mV/aMD9qRE/BntV03gVjrPnM5bL+CEtX3wXhzVTVGwACnd8iQ6lkHN90inkdbE3ggTF8ngjL+pdZ4pV0duuhYc3+58PJm9iKjmojvOlrBUmjc1+abauCtonICrmgif7DENbohOg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2021-09-27T08:15:00Z</dcterms:created>
  <dc:creator>Krzysztof Skórski</dc:creator>
</cp:coreProperties>
</file>