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Praktyczna nauka języka angielskiego – tłumaczenia specjalistyczne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Practical English – Specialized Translation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327"/>
        <w:tblGridChange w:id="0">
          <w:tblGrid>
            <w:gridCol w:w="4420"/>
            <w:gridCol w:w="53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mgr Joanna Mirek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ind w:left="108" w:hanging="1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20"/>
        <w:gridCol w:w="2120"/>
        <w:gridCol w:w="2120"/>
        <w:gridCol w:w="3387"/>
        <w:tblGridChange w:id="0">
          <w:tblGrid>
            <w:gridCol w:w="2120"/>
            <w:gridCol w:w="2120"/>
            <w:gridCol w:w="2120"/>
            <w:gridCol w:w="33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36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III, IV</w:t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60"/>
        <w:gridCol w:w="7687"/>
        <w:tblGridChange w:id="0">
          <w:tblGrid>
            <w:gridCol w:w="2060"/>
            <w:gridCol w:w="7687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W1. Kompetencje językowe pol./ang. na poziomie B2/C1 </w:t>
              <w:br w:type="textWrapping"/>
              <w:t xml:space="preserve">W2. Kompetencje badawcze </w:t>
              <w:br w:type="textWrapping"/>
              <w:t xml:space="preserve">W3. Kompetencje badawcze wyszukiwania informacji (info mining)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ind w:left="108" w:hanging="1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Nabycie umiejętności i wiedzy w zakresie tłumaczeń specjalistycznych z dziedzin określonych przez prowadzącego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Nabycie umiejętności i wiedzy w zakresie tłumaczeń specjalistycznych z dziedzin określonych przez innych studentów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 Umiejętność pracy w różnych zakresach tematycznych</w:t>
            </w:r>
          </w:p>
        </w:tc>
      </w:tr>
    </w:tbl>
    <w:p w:rsidR="00000000" w:rsidDel="00000000" w:rsidP="00000000" w:rsidRDefault="00000000" w:rsidRPr="00000000" w14:paraId="00000056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38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16"/>
        <w:gridCol w:w="5300"/>
        <w:gridCol w:w="3070"/>
        <w:tblGridChange w:id="0">
          <w:tblGrid>
            <w:gridCol w:w="1016"/>
            <w:gridCol w:w="5300"/>
            <w:gridCol w:w="3070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mechanizmy językowe w języku polskim i różnych odmianach języka angielskiego w kontekście przekładu tekstów specjalistycznych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K_W03, K_W06</w:t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rozpoznaje pojęcia z zakresu własności intelektualnej i prawa autorskiego oraz identyfikuje uwarunkowania ekonomiczne, prawne i etyczne działalności zawodowej tłumacza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K_W09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rodzaje formy przedsiębiorczości niezbędne do wykonywania zawodu tłumacza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K_W10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poprawnie formułuje wypowiedzi pisemne w języku polskim i angielskim na poziomie zaawansowanym, wykorzystując specjalistyczną terminologię oraz różnorodne techniki informacyjno-komunikacyjne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K_U03, K_U04, K_U05, K_U06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pracuje w zespole tłumaczeniowym w różnych rolach (tłumacz, korektor, weryfikator)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K_U08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938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16"/>
        <w:gridCol w:w="5300"/>
        <w:gridCol w:w="3070"/>
        <w:tblGridChange w:id="0">
          <w:tblGrid>
            <w:gridCol w:w="1016"/>
            <w:gridCol w:w="5300"/>
            <w:gridCol w:w="307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09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angażuje się w rozwój warsztatu tłumacza, korzystając z dostępnych źródeł eksperckich w kontekście tłumaczenia specjalistycznego dla określonej grupy odbiorców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K_K01, K_K02, K_K03</w:t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angażuje się w rozwój przedsiębiorczości oraz działa w sposób odpowiedzialny i etyczny w swojej działalności tłumaczeniowej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K_K05, K_K06</w:t>
            </w:r>
          </w:p>
        </w:tc>
      </w:tr>
    </w:tbl>
    <w:p w:rsidR="00000000" w:rsidDel="00000000" w:rsidP="00000000" w:rsidRDefault="00000000" w:rsidRPr="00000000" w14:paraId="0000007B">
      <w:pPr>
        <w:pBdr>
          <w:top w:space="0" w:sz="0" w:val="nil"/>
        </w:pBdr>
        <w:tabs>
          <w:tab w:val="left" w:pos="360"/>
          <w:tab w:val="left" w:pos="708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pBdr>
          <w:top w:space="0" w:sz="0" w:val="nil"/>
        </w:pBd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8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155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-Wprowadzenie do kursu: czym charakteryzują się tłumaczenia specjalistyczne? Jakie są skutki błędnego przekładu? Jakie kompetencje należy zdobyć, aby podjąć się tłumaczenia specjalistycznego?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Case 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specjalistycznych tekstów paralelnych (w j. polskim i angielskim)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-Ćwiczenia leksykalno-gramatyczne oraz tłumaczenie i analiza wybranych tekstów specjalistycznych (specyfika, przygotowanie glosariusza, źródła informacji terminologicznej, przygotowanie tłumaczenia i jego omówienie) </w:t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tabs>
          <w:tab w:val="left" w:pos="1080"/>
        </w:tabs>
        <w:spacing w:after="200" w:lineRule="auto"/>
        <w:ind w:left="46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 </w:t>
      </w:r>
    </w:p>
    <w:tbl>
      <w:tblPr>
        <w:tblStyle w:val="Table9"/>
        <w:tblW w:w="9747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"/>
        <w:gridCol w:w="2460"/>
        <w:gridCol w:w="2600"/>
        <w:gridCol w:w="3787"/>
        <w:tblGridChange w:id="0">
          <w:tblGrid>
            <w:gridCol w:w="900"/>
            <w:gridCol w:w="2460"/>
            <w:gridCol w:w="2600"/>
            <w:gridCol w:w="3787"/>
          </w:tblGrid>
        </w:tblGridChange>
      </w:tblGrid>
      <w:tr>
        <w:trPr>
          <w:cantSplit w:val="0"/>
          <w:trHeight w:val="83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z tekstem, case study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w czasie zajęć, obserwacja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Case study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w czasie zajęć, obserwacja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Case study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w czasie zajęć, obserwacja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praktyczne, praca indywidualna i w grupach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Sprawdzenie umiejętności praktycznych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praktyczne, praca w grupach w różnych rolach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Sprawdzenie umiejętności praktycznych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praktyczne, praca indywidualna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Sprawdzenie umiejętności praktycznych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praktyczne, praca indywidualna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Sprawdzenie umiejętności praktycznych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Raport z obserwacji</w:t>
            </w:r>
          </w:p>
        </w:tc>
      </w:tr>
    </w:tbl>
    <w:p w:rsidR="00000000" w:rsidDel="00000000" w:rsidP="00000000" w:rsidRDefault="00000000" w:rsidRPr="00000000" w14:paraId="000000B9">
      <w:pPr>
        <w:tabs>
          <w:tab w:val="left" w:pos="360"/>
          <w:tab w:val="left" w:pos="708"/>
        </w:tabs>
        <w:spacing w:after="200" w:lineRule="auto"/>
        <w:ind w:left="70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BB">
      <w:pPr>
        <w:spacing w:after="20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 podlega ewaluacji na bieżąco. Oceniane jest przygotowywanie się do zajęć, aktywność, stopień zaawansowania i poprawności językowej, postęp w tłumaczeniu specjalistycznym oraz współpraca z innymi studentami. Zaliczenie odbywa się na podstawie aktywności oraz samodzielnego sporządzenia przekładu wybranych tekstów specjalistycznych w obydwu kierunkach wraz z uzasadnieniem podjętych decyzji tłumaczeniowych.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Tłumaczenia na zajęciach – 60%</w:t>
        <w:br w:type="textWrapping"/>
        <w:t xml:space="preserve">Aktywność na zajęciach – 30%</w:t>
        <w:br w:type="textWrapping"/>
        <w:t xml:space="preserve">Obecność – 10%</w:t>
      </w:r>
    </w:p>
    <w:p w:rsidR="00000000" w:rsidDel="00000000" w:rsidP="00000000" w:rsidRDefault="00000000" w:rsidRPr="00000000" w14:paraId="000000BE">
      <w:pPr>
        <w:spacing w:after="20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VII.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889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469"/>
        <w:tblGridChange w:id="0">
          <w:tblGrid>
            <w:gridCol w:w="4420"/>
            <w:gridCol w:w="546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36h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144h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1"/>
        <w:tblW w:w="9889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Przedmiot wykorzystuje materiały autentyczne w zakresie omawianych dziedzin specjalistycznych.</w:t>
            </w:r>
          </w:p>
          <w:p w:rsidR="00000000" w:rsidDel="00000000" w:rsidP="00000000" w:rsidRDefault="00000000" w:rsidRPr="00000000" w14:paraId="000000C9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Literatura podstawowa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Belczyk, A. 2002. Poradnik tłumacza. Kraków: Idea 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Berezowski, L. 2009. Jak czytać i rozumieć angielskie umowy, dokumenty notarialne, testamenty, pełnomocnictwa, dokumenty sądowe w sprawach cywilnych. CH Beck. 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Kozłowska, C. D. 2012. Difficult words in Polish-English translation = Wyrazy i wyrażenia trudne do przetłumaczenia na język angielski. Warszawa : Wydawnictwo Naukowe PWN.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Dąmbska-Prokop, U. (red.) 2000. Mała encyklopedia przekładoznawstwa. Częstochowa: Educator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Domański, P. 1994. Sztuka tłumaczenia tekstów angielskich. Warszawa: Wydawnictwo Veda</w:t>
            </w:r>
          </w:p>
          <w:p w:rsidR="00000000" w:rsidDel="00000000" w:rsidP="00000000" w:rsidRDefault="00000000" w:rsidRPr="00000000" w14:paraId="000000CF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Dzierżanowska, H. 1988. Przekład tekstów nieliterackich na przykładzie języka angielskiego. Warszawa: PWN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492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Donesch-Jeżo, E., 2000: English for medical students and doctors. Kraków: Wydawnictwo Przegląd Lekarski 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Hatim, B., J. Munday. 2004. Translation: An advanced resource book. London-New York: Routledge. 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Korzeniowska, A. 1998. Explorations in Polish-English mistranslation problems. Warszawa: Wyd. UW. 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Korzeniowska, A., Kuhiwczak, P. 1994. Successful Polish-English Translation. Tricks of the Trade. Warszawa: Wydawnictwo Naukowe PWN 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Kierzkowska, D. 2008. Tłumaczenia prawnicze. Translegis. 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Jopek-Bosiacka, A. Przekład prawny i sądowy. PWN. 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Maliszewski, J. (red.) 2003. Wybrane aspekty przekładu literackiego i specjalistycznego. Częstochowa: Politechnika Częstochowska. 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Newmark, P. 1988. A textbook of translation. London-New York: Prentice Hall. 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Piotrowska, M. 2003. Learning Translation – Learning the Impossible? A Course of Translation from Polish to English. Kraków: Universitas. 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Setkowicz, A. (red.) 2000. O nauczaniu przekładu. Warszawa: TEPIS. 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Voellnagel, A. 1998. Jak nie tłumaczyć tekstów technicznych. Warszawa: TEPIS. </w:t>
            </w:r>
          </w:p>
        </w:tc>
      </w:tr>
    </w:tbl>
    <w:p w:rsidR="00000000" w:rsidDel="00000000" w:rsidP="00000000" w:rsidRDefault="00000000" w:rsidRPr="00000000" w14:paraId="000000DC">
      <w:pPr>
        <w:widowControl w:val="0"/>
        <w:pBdr>
          <w:top w:space="0" w:sz="0" w:val="nil"/>
        </w:pBdr>
        <w:tabs>
          <w:tab w:val="left" w:pos="1080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9"/>
      </w:numPr>
    </w:pPr>
  </w:style>
  <w:style w:type="paragraph" w:styleId="v1msonormal" w:customStyle="1">
    <w:name w:val="v1msonormal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7" w:customStyle="1">
    <w:name w:val="Imported Style 7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 w:val="1"/>
    <w:rsid w:val="00575A2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75A21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OBZCvH2CIQ6gIFG1FgZRTQ8bg==">AMUW2mWt+HIc4DNBNsj0jV133C2PbxUnpP3mj4A0fBeMXbEYdMyoYPpQjhh9zp3xHlCft7rUkXX+gekzPcQqGYbVA0605ZBgfOtZ+X3F/3iWmCmzSVfayoczNoWk7l60W0W9UP8x43i4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2021-09-27T11:02:00Z</dcterms:created>
  <dc:creator>Krzysztof Skórski</dc:creator>
</cp:coreProperties>
</file>