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35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661"/>
        <w:tblGridChange w:id="0">
          <w:tblGrid>
            <w:gridCol w:w="4474"/>
            <w:gridCol w:w="466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Literary studies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Łukasz Borowiec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9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Znajomość podstawowych zagadnień z zakresu teorii literatury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Podstawowe doświadczenie w zakresie analizy i interpretacji tekstów literackich.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Podstawowy cel to napisanie przez każdego z uczestników seminarium pracy licencjackiej.    Zasadniczo prace rozpatrują wybrane zagadnienia literaturoznawcze w obrębie tematyki  seminarium.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Podniesienie poziomu znajomości literatury angielskiej oraz problematyki literaturoznawczej,    lepsze zrozumienie problematyki metodologii nauk humanistycznych (w szczególności literaturoznawstwa), zaznajomienie się z podstawowymi zagadnieniami w tej dziedzinie.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Doskonalenie rozumienia oraz krytycznej oceny wartości prac krytycznoliterackich oraz zdolności analizy i interpretacji tekstów literackich.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Pogłębienie technicznych (warsztatowych) umiejętności pisania prac naukowych (wybór tematu, przygotowanie projektu, wybór metody, gromadzenie bibliografii, sporządzanie przypisów itd.) oraz przejrzystego i zwięzłego, logicznego i językowo poprawnego przedstawienia wyników badań.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6"/>
        <w:gridCol w:w="5712"/>
        <w:gridCol w:w="2072"/>
        <w:tblGridChange w:id="0">
          <w:tblGrid>
            <w:gridCol w:w="1056"/>
            <w:gridCol w:w="5712"/>
            <w:gridCol w:w="2072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znaczenie i rolę literaturoznawstwa anglojęzycznego w zakresie objętym tematyką seminarium.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K_W09,  K_W12</w:t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terminologię używaną do opisu zjawisk związanych z tematyką seminarium oraz definiuje podstawowe zagadnienia teoretyczne związane z historią i rozwojem  literaturoznawstwa anglojęzycznego.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K_W07, K_W08, K_W09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określa metody badań literaturoznawczych w odniesieniu do tematyki seminarium, uwzględniając elementy tradycji, kultury, historii oraz wybranych kierunków badawczych.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K_W09, K_W10, K_W11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podstawowe pojęcia i zasady z zakresu ochrony własności intelektualnej i prawa autorskiego,  zwłaszcza w odniesieniu do prac literaturoznawczych objętych tematyką seminarium.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K_W13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wybiera oraz krytycznie analizuje informacje niezbędne przy powstawaniu pracy licencjackiej z zakresu literaturoznawstwa anglojęzycznego w świetle wcześniej sformułowanego problemu badawczego.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pisze pracę licencjacką z zakresu literaturoznawstwa anglojęzycznego, wykorzystując przy tym właściwie dobrane źródła oraz stosując odpowiednie narzędzia i metody badawcze.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K_U05, K_U06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wyraża precyzyjnie swoje myśli i poglądy w języku angielskim, stosując do tego rejestr języka właściwy pracom licencjackim z zakresu literaturoznawstwa.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K_U07, K_U08, K_U10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poszerza swoją wiedzę i umiejętności w zakresie tematyki seminarium, stosując się do wskazówek promotora i wykorzystując zdobytą dotychczas wiedzę.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K_U13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rozwija swoje kompetencje i wiedzę, w które został wyposażony podczas pracy na seminarium, dostrzega powiązania między nimi a możliwościami wykorzystania ich w życiu zawodowym i życiu społecznym.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K_K03, K_K06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organizuje swoją pracę ze świadomością konieczności poszanowania zasad i norm etycznych wynikających ze specyfiki badań literaturoznawczych.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dostrzega znaczenie specyfiki i popularyzacji badań literaturoznawczych w kontekście kulturowym i społecznym.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K_K05, K_K07, K_K08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200" w:before="0" w:line="240" w:lineRule="auto"/>
        <w:ind w:left="479" w:right="0" w:hanging="47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931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rPr>
          <w:cantSplit w:val="0"/>
          <w:trHeight w:val="519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1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Wprowadzenie do kursu. Zapoznanie ze specyfiką pisania pracy licencjackiej z dziedziny literaturoznawstwa anglojęzycznego.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Kolejne zajęcia obejmują następujące zagadnienia: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61.9999999999999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Teoretyczna, historyczna, kulturowa specyfika gatunku literackiego stanowiącego tematykę seminarium.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5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z warsztatu pisania pracy naukowej (problem plagiatu, kryteria oceny pracy naukowej, znaczenie metody naukowej i opisu stanu badań, zasady zbierania materiałów, organizacja pracy, itp).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61.9999999999999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nad przykładowymi zagadnieniami teoretyczno-literackimi pod kątem zademonstrowania właściwie przeprowadzonej analizy krytyczno-literackiej.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tematu pracy dyplomowej.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61.99999999999994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Referaty seminarzystów dotyczące zebranego materiału bibliograficznego oraz dyskusja.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4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Przedstawienie planu pracy dyplomowej i dyskusja na forum grupy.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0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drugim semestrze większość spotkań poświęcona jest analizie prac pisanych przez uczestników seminarium oraz omawianiu teoretycznych zagadnień albo interpretacji utworów literackich związanych ze szczegółowymi tematami prac wybranymi przez uczestników seminarium.</w:t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9"/>
        <w:tblW w:w="8947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9"/>
        <w:gridCol w:w="2615"/>
        <w:gridCol w:w="2752"/>
        <w:gridCol w:w="2511"/>
        <w:tblGridChange w:id="0">
          <w:tblGrid>
            <w:gridCol w:w="1069"/>
            <w:gridCol w:w="2615"/>
            <w:gridCol w:w="2752"/>
            <w:gridCol w:w="2511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</w:p>
        </w:tc>
      </w:tr>
      <w:tr>
        <w:trPr>
          <w:cantSplit w:val="0"/>
          <w:trHeight w:val="1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</w:p>
        </w:tc>
      </w:tr>
      <w:tr>
        <w:trPr>
          <w:cantSplit w:val="0"/>
          <w:trHeight w:val="16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 </w:t>
            </w:r>
          </w:p>
        </w:tc>
      </w:tr>
      <w:tr>
        <w:trPr>
          <w:cantSplit w:val="0"/>
          <w:trHeight w:val="1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/ Studium przypadku (case study)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ustna, wykonane ćwiczenia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</w:p>
        </w:tc>
      </w:tr>
      <w:tr>
        <w:trPr>
          <w:cantSplit w:val="0"/>
          <w:trHeight w:val="19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</w:p>
        </w:tc>
      </w:tr>
      <w:tr>
        <w:trPr>
          <w:cantSplit w:val="0"/>
          <w:trHeight w:val="1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 / Dokumentacja z kolejnych etapów przygotowania i pracy właściwej nad pracą licencjacką  / Praca licencjacka</w:t>
            </w:r>
          </w:p>
        </w:tc>
      </w:tr>
      <w:tr>
        <w:trPr>
          <w:cantSplit w:val="0"/>
          <w:trHeight w:val="1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/ Dyskusja / Studium przypadku (case study) / Praca badawcza pod kierunkiem (praca seminaryjna)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 / Odpowiedź ustna i informacja zwrotna od prowadzącego / 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Dokumentacja z kolejnych etapów przygotowania i pracy właściwej nad pracą licencjacką  / Praca licencjacka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</w:p>
        </w:tc>
      </w:tr>
      <w:tr>
        <w:trPr>
          <w:cantSplit w:val="0"/>
          <w:trHeight w:val="12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Dokumentacja z kolejnych etapów przygotowania i pracy właściwej nad pracą licencjacką  / Praca licencjacka</w:t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prowadzącego /  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Liczba dozwolonych nieobecności: 2.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Podstawowe kryteria oceny to aktywne uczestnictwo w seminarium, co oznacza realizację zadań wyznaczonych przez promotora, które mają na celu przygotować seminarzystów do pisania pracy licencjackiej. Ostatecznym kryterium zaliczenia seminarium jest napisanie pracy licencjackiej na koniec VI semestru.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V (student musi uzyskać łącznie co najmniej 60%, by otrzymać zaliczenie):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Obecność – 0-18% (każda nieobecność pomniejsza liczbę 18% o 2%)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Aktywny udział w zajęciach – 0-18% (na każdym spotkaniu student może otrzymać od 0 do 2% za aktywność)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Zadania domowe – 0-64% (student ma do wykonania 8 zadań; wykonanie każdego zadania dodaje 8% do wyniku końcowego)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VI – zaliczenie otrzymuje student, który napisał pracę licencjacką. Oprócz napisania pracy każdy student opracowuje i przedstawia na zajęciach (w formie prezentacji) jedno wybrane zagadnienie obejmujące tematykę seminarium w ramach przygotowania do egzaminu dyplomowego.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10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36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7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(szczegółowy wykaz dostarcza każdorazowo prowadzący seminarium):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Boulton, Marjorie. The Anatomy of Literary Studies: An Introduction to the Study of English Literature. Routledge &amp; Kegan Paul, 1980.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Crisell, Andrew. Understanding Radio. Routledge, 1994.</w:t>
              <w:br w:type="textWrapping"/>
              <w:t xml:space="preserve">Crook, Tim. Radio Drama: Theory and Practice. London: Routledge, 1999.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Cuddon, J. A. The Penguin Dictionary of Literary Terms and Literary Theory. Penguin Books, 1999.</w:t>
              <w:br w:type="textWrapping"/>
              <w:t xml:space="preserve">Guralnick, Elissa S. Sight Unseen: Beckett, Pinter, Stoppard and Other Contemporary Dramatists on Radio. Athens: Ohio University Press, 1996.</w:t>
              <w:br w:type="textWrapping"/>
              <w:t xml:space="preserve">Hand, Richard J., Mary Traynor. The Radio Drama Handbook: Audio Drama in Context and Practice (Audio Drama in Practice and Context). New York and London: Continuum Books, 2011.</w:t>
              <w:br w:type="textWrapping"/>
              <w:t xml:space="preserve">Lewis, Peter Elfed. Radio Drama.</w:t>
              <w:br w:type="textWrapping"/>
              <w:t xml:space="preserve">Rattigan, Dermot. Theatre of Sound: Radio and the Dramatic Imagination. Dublin: Carysfort Press, 2002.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Rivkin, Julie, and Michael Ryan. Literary Theory: An Anthology. Blackwell, 1998.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Ryan, Michael. Literary theory: A Practical Introduction. Blackwell Publ., 1999.</w:t>
              <w:br w:type="textWrapping"/>
              <w:t xml:space="preserve">Verma, Neil. Theater of the Mind: Imagination, Aesthetics, and American Radio Drama. University of Chicago Press, 2012.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Waugh, Patricia, ed. Literary Theory and Criticism: An Oxford Guide. 2006.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żródła online wskazane przez prowadzącego w zależności od potrzeb seminarzystów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zależności od tematu opracowywanego przez danego studenta.</w:t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72" w:hanging="501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00" w:customStyle="1">
    <w:name w:val="Normal0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 Neue" w:cs="Arial Unicode MS" w:hAnsi="Helvetica Neue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 w:val="1"/>
    <w:rsid w:val="007C321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7C3211"/>
    <w:rPr>
      <w:sz w:val="24"/>
      <w:szCs w:val="24"/>
      <w:lang w:eastAsia="en-US" w:val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C3211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7C3211"/>
    <w:rPr>
      <w:rFonts w:ascii="Segoe UI" w:cs="Segoe UI" w:hAnsi="Segoe UI"/>
      <w:sz w:val="18"/>
      <w:szCs w:val="18"/>
      <w:lang w:eastAsia="en-US" w:val="en-US"/>
    </w:rPr>
  </w:style>
  <w:style w:type="table" w:styleId="Tabela-Siatka">
    <w:name w:val="Table Grid"/>
    <w:basedOn w:val="Standardowy"/>
    <w:uiPriority w:val="39"/>
    <w:rsid w:val="007C321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8pc+J4DHHc99fL3R32t7g7/4HA==">AMUW2mWi7S5SYE0dhxjB+yAYMBRi9yBTu/YCaVNB1PssM3Bah0Y4OsbHjcw5bxr3HJ6vK71wDVstCfQHGoBQoWux8Q6qJC/zMZWBeUL514Oyn3dPhymjx/FVjZSqjlV5+SgsQDvT1M0G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2021-09-27T21:11:00Z</dcterms:created>
</cp:coreProperties>
</file>