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0431D" w14:textId="77777777" w:rsidR="00F16573" w:rsidRDefault="00533D2C">
      <w:pPr>
        <w:rPr>
          <w:b/>
          <w:lang w:val="en-GB"/>
        </w:rPr>
      </w:pPr>
      <w:r>
        <w:rPr>
          <w:b/>
          <w:lang w:val="en-GB"/>
        </w:rPr>
        <w:t xml:space="preserve">Course Syllabus </w:t>
      </w:r>
    </w:p>
    <w:p w14:paraId="214B7DB0" w14:textId="77777777" w:rsidR="00F16573" w:rsidRDefault="00F16573">
      <w:pPr>
        <w:rPr>
          <w:b/>
          <w:lang w:val="en-GB"/>
        </w:rPr>
      </w:pPr>
    </w:p>
    <w:p w14:paraId="68218DB8" w14:textId="77777777" w:rsidR="00F16573" w:rsidRDefault="00533D2C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General Information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16573" w14:paraId="0541D883" w14:textId="77777777">
        <w:tc>
          <w:tcPr>
            <w:tcW w:w="4605" w:type="dxa"/>
            <w:shd w:val="clear" w:color="auto" w:fill="auto"/>
          </w:tcPr>
          <w:p w14:paraId="6A46C24E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name</w:t>
            </w:r>
          </w:p>
        </w:tc>
        <w:tc>
          <w:tcPr>
            <w:tcW w:w="4605" w:type="dxa"/>
            <w:shd w:val="clear" w:color="auto" w:fill="auto"/>
          </w:tcPr>
          <w:p w14:paraId="37990AD8" w14:textId="4CB1D8BE" w:rsidR="00F16573" w:rsidRDefault="00090A7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Contemporary Literature </w:t>
            </w:r>
          </w:p>
        </w:tc>
      </w:tr>
      <w:tr w:rsidR="00F16573" w14:paraId="36F9B247" w14:textId="77777777">
        <w:tc>
          <w:tcPr>
            <w:tcW w:w="4605" w:type="dxa"/>
            <w:shd w:val="clear" w:color="auto" w:fill="auto"/>
          </w:tcPr>
          <w:p w14:paraId="4A1BDD79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Programme </w:t>
            </w:r>
          </w:p>
        </w:tc>
        <w:tc>
          <w:tcPr>
            <w:tcW w:w="4605" w:type="dxa"/>
            <w:shd w:val="clear" w:color="auto" w:fill="auto"/>
          </w:tcPr>
          <w:p w14:paraId="2A0C5A87" w14:textId="33C4E4F9" w:rsidR="00F16573" w:rsidRDefault="00090A7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Journalism and Social Communication </w:t>
            </w:r>
          </w:p>
        </w:tc>
      </w:tr>
      <w:tr w:rsidR="00F16573" w:rsidRPr="00090A73" w14:paraId="05BA8642" w14:textId="77777777">
        <w:tc>
          <w:tcPr>
            <w:tcW w:w="4605" w:type="dxa"/>
            <w:shd w:val="clear" w:color="auto" w:fill="auto"/>
          </w:tcPr>
          <w:p w14:paraId="24392157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Level of studies (BA, BSc, MA, MSc, long-cycle MA)</w:t>
            </w:r>
          </w:p>
        </w:tc>
        <w:tc>
          <w:tcPr>
            <w:tcW w:w="4605" w:type="dxa"/>
            <w:shd w:val="clear" w:color="auto" w:fill="auto"/>
          </w:tcPr>
          <w:p w14:paraId="3EC0CE63" w14:textId="4A659034" w:rsidR="00F16573" w:rsidRDefault="00090A7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</w:t>
            </w:r>
          </w:p>
        </w:tc>
      </w:tr>
      <w:tr w:rsidR="00F16573" w:rsidRPr="00090A73" w14:paraId="2FEEA9D7" w14:textId="77777777">
        <w:tc>
          <w:tcPr>
            <w:tcW w:w="4605" w:type="dxa"/>
            <w:shd w:val="clear" w:color="auto" w:fill="auto"/>
          </w:tcPr>
          <w:p w14:paraId="5FBD40BB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studies (full-time, part-time)</w:t>
            </w:r>
          </w:p>
        </w:tc>
        <w:tc>
          <w:tcPr>
            <w:tcW w:w="4605" w:type="dxa"/>
            <w:shd w:val="clear" w:color="auto" w:fill="auto"/>
          </w:tcPr>
          <w:p w14:paraId="7A692CF5" w14:textId="49E03B20" w:rsidR="00F16573" w:rsidRDefault="00090A7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Full-time</w:t>
            </w:r>
          </w:p>
        </w:tc>
      </w:tr>
      <w:tr w:rsidR="00F16573" w14:paraId="32D0CE39" w14:textId="77777777">
        <w:tc>
          <w:tcPr>
            <w:tcW w:w="4605" w:type="dxa"/>
            <w:shd w:val="clear" w:color="auto" w:fill="auto"/>
          </w:tcPr>
          <w:p w14:paraId="71F67A3D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Discipline</w:t>
            </w:r>
          </w:p>
        </w:tc>
        <w:tc>
          <w:tcPr>
            <w:tcW w:w="4605" w:type="dxa"/>
            <w:shd w:val="clear" w:color="auto" w:fill="auto"/>
          </w:tcPr>
          <w:p w14:paraId="17BC6DE6" w14:textId="6C1D1C30" w:rsidR="00F16573" w:rsidRDefault="00090A7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Social communication and media </w:t>
            </w:r>
          </w:p>
        </w:tc>
      </w:tr>
      <w:tr w:rsidR="00F16573" w14:paraId="2089EB56" w14:textId="77777777">
        <w:tc>
          <w:tcPr>
            <w:tcW w:w="4605" w:type="dxa"/>
            <w:shd w:val="clear" w:color="auto" w:fill="auto"/>
          </w:tcPr>
          <w:p w14:paraId="0F8426FE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Language of instruction</w:t>
            </w:r>
          </w:p>
        </w:tc>
        <w:tc>
          <w:tcPr>
            <w:tcW w:w="4605" w:type="dxa"/>
            <w:shd w:val="clear" w:color="auto" w:fill="auto"/>
          </w:tcPr>
          <w:p w14:paraId="5BD8A049" w14:textId="73026B2B" w:rsidR="00F16573" w:rsidRDefault="00090A7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English </w:t>
            </w:r>
          </w:p>
        </w:tc>
      </w:tr>
    </w:tbl>
    <w:p w14:paraId="6615FB69" w14:textId="77777777" w:rsidR="00F16573" w:rsidRDefault="00F16573">
      <w:pPr>
        <w:spacing w:after="0"/>
        <w:rPr>
          <w:lang w:val="en-GB"/>
        </w:rPr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16573" w14:paraId="18E1C1D5" w14:textId="77777777">
        <w:tc>
          <w:tcPr>
            <w:tcW w:w="4605" w:type="dxa"/>
            <w:shd w:val="clear" w:color="auto" w:fill="auto"/>
          </w:tcPr>
          <w:p w14:paraId="745ADBAF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coordinator/person responsible</w:t>
            </w:r>
          </w:p>
        </w:tc>
        <w:tc>
          <w:tcPr>
            <w:tcW w:w="4605" w:type="dxa"/>
            <w:shd w:val="clear" w:color="auto" w:fill="auto"/>
          </w:tcPr>
          <w:p w14:paraId="5CAAC208" w14:textId="753EDB51" w:rsidR="00F16573" w:rsidRPr="00090A73" w:rsidRDefault="00090A73">
            <w:pPr>
              <w:spacing w:after="0" w:line="240" w:lineRule="auto"/>
            </w:pPr>
            <w:r w:rsidRPr="00090A73">
              <w:t xml:space="preserve">Stanisław Dunin-Wilczyński, </w:t>
            </w:r>
            <w:r>
              <w:t>M</w:t>
            </w:r>
            <w:r w:rsidRPr="00090A73">
              <w:t>.</w:t>
            </w:r>
            <w:r>
              <w:t xml:space="preserve">A. </w:t>
            </w:r>
          </w:p>
          <w:p w14:paraId="1DE297AE" w14:textId="77777777" w:rsidR="00F16573" w:rsidRPr="00090A73" w:rsidRDefault="00F16573">
            <w:pPr>
              <w:spacing w:after="0" w:line="240" w:lineRule="auto"/>
            </w:pPr>
          </w:p>
        </w:tc>
      </w:tr>
    </w:tbl>
    <w:p w14:paraId="27D5D721" w14:textId="77777777" w:rsidR="00F16573" w:rsidRPr="00090A73" w:rsidRDefault="00F16573">
      <w:pPr>
        <w:spacing w:after="0"/>
      </w:pP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2"/>
      </w:tblGrid>
      <w:tr w:rsidR="00F16573" w14:paraId="4E3B2262" w14:textId="77777777">
        <w:tc>
          <w:tcPr>
            <w:tcW w:w="2302" w:type="dxa"/>
            <w:shd w:val="clear" w:color="auto" w:fill="auto"/>
          </w:tcPr>
          <w:p w14:paraId="51AAE328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Type of class </w:t>
            </w:r>
            <w:r>
              <w:rPr>
                <w:i/>
                <w:lang w:val="en-GB"/>
              </w:rPr>
              <w:t>(use only the types mentioned below)</w:t>
            </w:r>
          </w:p>
        </w:tc>
        <w:tc>
          <w:tcPr>
            <w:tcW w:w="2303" w:type="dxa"/>
            <w:shd w:val="clear" w:color="auto" w:fill="auto"/>
          </w:tcPr>
          <w:p w14:paraId="23D94B07" w14:textId="77777777" w:rsidR="00F16573" w:rsidRDefault="00533D2C">
            <w:pPr>
              <w:spacing w:after="0" w:line="240" w:lineRule="auto"/>
              <w:jc w:val="center"/>
              <w:rPr>
                <w:rFonts w:ascii="Calibri" w:hAnsi="Calibri" w:cs="Calibri"/>
                <w:bCs/>
                <w:lang w:val="en-GB"/>
              </w:rPr>
            </w:pPr>
            <w:r>
              <w:rPr>
                <w:rFonts w:cs="Calibri"/>
                <w:bCs/>
                <w:lang w:val="en-GB"/>
              </w:rPr>
              <w:t>Number of teaching hours</w:t>
            </w:r>
          </w:p>
          <w:p w14:paraId="622008AF" w14:textId="77777777" w:rsidR="00F16573" w:rsidRDefault="00F16573">
            <w:pPr>
              <w:spacing w:after="0" w:line="240" w:lineRule="auto"/>
              <w:jc w:val="center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1FA03CF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Semester</w:t>
            </w:r>
          </w:p>
        </w:tc>
        <w:tc>
          <w:tcPr>
            <w:tcW w:w="2302" w:type="dxa"/>
            <w:shd w:val="clear" w:color="auto" w:fill="auto"/>
          </w:tcPr>
          <w:p w14:paraId="6F70D4B1" w14:textId="77777777" w:rsidR="00F16573" w:rsidRDefault="00533D2C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lang w:val="en-GB"/>
              </w:rPr>
            </w:pPr>
            <w:r>
              <w:rPr>
                <w:rFonts w:cs="Calibri"/>
                <w:bCs/>
                <w:color w:val="000000"/>
                <w:lang w:val="en-GB"/>
              </w:rPr>
              <w:t>ECTS Points</w:t>
            </w:r>
          </w:p>
          <w:p w14:paraId="569C88DB" w14:textId="77777777" w:rsidR="00F16573" w:rsidRDefault="00F16573">
            <w:pPr>
              <w:spacing w:after="0" w:line="240" w:lineRule="auto"/>
              <w:jc w:val="center"/>
              <w:rPr>
                <w:lang w:val="en-GB"/>
              </w:rPr>
            </w:pPr>
          </w:p>
        </w:tc>
      </w:tr>
      <w:tr w:rsidR="00F16573" w14:paraId="518417B9" w14:textId="77777777">
        <w:tc>
          <w:tcPr>
            <w:tcW w:w="2302" w:type="dxa"/>
            <w:shd w:val="clear" w:color="auto" w:fill="auto"/>
          </w:tcPr>
          <w:p w14:paraId="4DA2E7DC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lecture</w:t>
            </w:r>
          </w:p>
        </w:tc>
        <w:tc>
          <w:tcPr>
            <w:tcW w:w="2303" w:type="dxa"/>
            <w:shd w:val="clear" w:color="auto" w:fill="auto"/>
          </w:tcPr>
          <w:p w14:paraId="7DA5D017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D2CF525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 w:val="restart"/>
            <w:shd w:val="clear" w:color="auto" w:fill="auto"/>
          </w:tcPr>
          <w:p w14:paraId="20C570C6" w14:textId="74CA23CC" w:rsidR="00F16573" w:rsidRDefault="005F6D7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</w:tr>
      <w:tr w:rsidR="00F16573" w14:paraId="14F59AE7" w14:textId="77777777">
        <w:tc>
          <w:tcPr>
            <w:tcW w:w="2302" w:type="dxa"/>
            <w:shd w:val="clear" w:color="auto" w:fill="auto"/>
          </w:tcPr>
          <w:p w14:paraId="538EEC19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tutorial</w:t>
            </w:r>
          </w:p>
        </w:tc>
        <w:tc>
          <w:tcPr>
            <w:tcW w:w="2303" w:type="dxa"/>
            <w:shd w:val="clear" w:color="auto" w:fill="auto"/>
          </w:tcPr>
          <w:p w14:paraId="2D045765" w14:textId="1848D205" w:rsidR="00F16573" w:rsidRDefault="005F6D7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2303" w:type="dxa"/>
            <w:shd w:val="clear" w:color="auto" w:fill="auto"/>
          </w:tcPr>
          <w:p w14:paraId="1A998F24" w14:textId="3CADDB7D" w:rsidR="00F16573" w:rsidRDefault="005F6D7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</w:t>
            </w:r>
          </w:p>
        </w:tc>
        <w:tc>
          <w:tcPr>
            <w:tcW w:w="2302" w:type="dxa"/>
            <w:vMerge/>
            <w:shd w:val="clear" w:color="auto" w:fill="auto"/>
          </w:tcPr>
          <w:p w14:paraId="10151C91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2370EC2D" w14:textId="77777777">
        <w:tc>
          <w:tcPr>
            <w:tcW w:w="2302" w:type="dxa"/>
            <w:shd w:val="clear" w:color="auto" w:fill="auto"/>
          </w:tcPr>
          <w:p w14:paraId="2D445A8C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classes</w:t>
            </w:r>
          </w:p>
        </w:tc>
        <w:tc>
          <w:tcPr>
            <w:tcW w:w="2303" w:type="dxa"/>
            <w:shd w:val="clear" w:color="auto" w:fill="auto"/>
          </w:tcPr>
          <w:p w14:paraId="32528367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287D864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5085433A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06DC03E6" w14:textId="77777777">
        <w:tc>
          <w:tcPr>
            <w:tcW w:w="2302" w:type="dxa"/>
            <w:shd w:val="clear" w:color="auto" w:fill="auto"/>
          </w:tcPr>
          <w:p w14:paraId="3E214799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laboratory classes</w:t>
            </w:r>
          </w:p>
        </w:tc>
        <w:tc>
          <w:tcPr>
            <w:tcW w:w="2303" w:type="dxa"/>
            <w:shd w:val="clear" w:color="auto" w:fill="auto"/>
          </w:tcPr>
          <w:p w14:paraId="1DC49CD7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1AC198EF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1014BE7A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3832C03F" w14:textId="77777777">
        <w:tc>
          <w:tcPr>
            <w:tcW w:w="2302" w:type="dxa"/>
            <w:shd w:val="clear" w:color="auto" w:fill="auto"/>
          </w:tcPr>
          <w:p w14:paraId="418E3D29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workshops</w:t>
            </w:r>
          </w:p>
        </w:tc>
        <w:tc>
          <w:tcPr>
            <w:tcW w:w="2303" w:type="dxa"/>
            <w:shd w:val="clear" w:color="auto" w:fill="auto"/>
          </w:tcPr>
          <w:p w14:paraId="08CD26FD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415D6A43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7C26894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315267AE" w14:textId="77777777">
        <w:tc>
          <w:tcPr>
            <w:tcW w:w="2302" w:type="dxa"/>
            <w:shd w:val="clear" w:color="auto" w:fill="auto"/>
          </w:tcPr>
          <w:p w14:paraId="0E05F97F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seminar</w:t>
            </w:r>
          </w:p>
        </w:tc>
        <w:tc>
          <w:tcPr>
            <w:tcW w:w="2303" w:type="dxa"/>
            <w:shd w:val="clear" w:color="auto" w:fill="auto"/>
          </w:tcPr>
          <w:p w14:paraId="164130FD" w14:textId="7D0453DD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E01280F" w14:textId="39E4CD4E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6D6AB298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58152386" w14:textId="77777777">
        <w:tc>
          <w:tcPr>
            <w:tcW w:w="2302" w:type="dxa"/>
            <w:shd w:val="clear" w:color="auto" w:fill="auto"/>
          </w:tcPr>
          <w:p w14:paraId="41605ECB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introductory seminar</w:t>
            </w:r>
          </w:p>
        </w:tc>
        <w:tc>
          <w:tcPr>
            <w:tcW w:w="2303" w:type="dxa"/>
            <w:shd w:val="clear" w:color="auto" w:fill="auto"/>
          </w:tcPr>
          <w:p w14:paraId="292170C2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2EF823F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9644E1B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13E83418" w14:textId="77777777">
        <w:tc>
          <w:tcPr>
            <w:tcW w:w="2302" w:type="dxa"/>
            <w:shd w:val="clear" w:color="auto" w:fill="auto"/>
          </w:tcPr>
          <w:p w14:paraId="3E00A19F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foreign language classes</w:t>
            </w:r>
          </w:p>
        </w:tc>
        <w:tc>
          <w:tcPr>
            <w:tcW w:w="2303" w:type="dxa"/>
            <w:shd w:val="clear" w:color="auto" w:fill="auto"/>
          </w:tcPr>
          <w:p w14:paraId="394537B7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2F7730FD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A9F14A8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6B8795F8" w14:textId="77777777">
        <w:tc>
          <w:tcPr>
            <w:tcW w:w="2302" w:type="dxa"/>
            <w:shd w:val="clear" w:color="auto" w:fill="auto"/>
          </w:tcPr>
          <w:p w14:paraId="4E234600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practical placement</w:t>
            </w:r>
          </w:p>
        </w:tc>
        <w:tc>
          <w:tcPr>
            <w:tcW w:w="2303" w:type="dxa"/>
            <w:shd w:val="clear" w:color="auto" w:fill="auto"/>
          </w:tcPr>
          <w:p w14:paraId="3A413A34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7362AC50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B796795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2568DEC0" w14:textId="77777777">
        <w:tc>
          <w:tcPr>
            <w:tcW w:w="2302" w:type="dxa"/>
            <w:shd w:val="clear" w:color="auto" w:fill="auto"/>
          </w:tcPr>
          <w:p w14:paraId="4B9138F0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field work</w:t>
            </w:r>
          </w:p>
        </w:tc>
        <w:tc>
          <w:tcPr>
            <w:tcW w:w="2303" w:type="dxa"/>
            <w:shd w:val="clear" w:color="auto" w:fill="auto"/>
          </w:tcPr>
          <w:p w14:paraId="1D42341E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FD63014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26FF2631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596853E7" w14:textId="77777777">
        <w:tc>
          <w:tcPr>
            <w:tcW w:w="2302" w:type="dxa"/>
            <w:shd w:val="clear" w:color="auto" w:fill="auto"/>
          </w:tcPr>
          <w:p w14:paraId="43362106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diploma laboratory</w:t>
            </w:r>
          </w:p>
        </w:tc>
        <w:tc>
          <w:tcPr>
            <w:tcW w:w="2303" w:type="dxa"/>
            <w:shd w:val="clear" w:color="auto" w:fill="auto"/>
          </w:tcPr>
          <w:p w14:paraId="0E9DC2A4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5540D0CA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3296AC9A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2BAF2F69" w14:textId="77777777">
        <w:tc>
          <w:tcPr>
            <w:tcW w:w="2302" w:type="dxa"/>
            <w:shd w:val="clear" w:color="auto" w:fill="auto"/>
          </w:tcPr>
          <w:p w14:paraId="1267BB75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translation classes</w:t>
            </w:r>
          </w:p>
        </w:tc>
        <w:tc>
          <w:tcPr>
            <w:tcW w:w="2303" w:type="dxa"/>
            <w:shd w:val="clear" w:color="auto" w:fill="auto"/>
          </w:tcPr>
          <w:p w14:paraId="308F389E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017BD953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074CE30D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  <w:tr w:rsidR="00F16573" w14:paraId="1D3B4B93" w14:textId="77777777">
        <w:tc>
          <w:tcPr>
            <w:tcW w:w="2302" w:type="dxa"/>
            <w:shd w:val="clear" w:color="auto" w:fill="auto"/>
          </w:tcPr>
          <w:p w14:paraId="7ABA8B45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study visit</w:t>
            </w:r>
          </w:p>
        </w:tc>
        <w:tc>
          <w:tcPr>
            <w:tcW w:w="2303" w:type="dxa"/>
            <w:shd w:val="clear" w:color="auto" w:fill="auto"/>
          </w:tcPr>
          <w:p w14:paraId="617DE07F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3" w:type="dxa"/>
            <w:shd w:val="clear" w:color="auto" w:fill="auto"/>
          </w:tcPr>
          <w:p w14:paraId="351A4520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  <w:tc>
          <w:tcPr>
            <w:tcW w:w="2302" w:type="dxa"/>
            <w:vMerge/>
            <w:shd w:val="clear" w:color="auto" w:fill="auto"/>
          </w:tcPr>
          <w:p w14:paraId="4BDAA00F" w14:textId="77777777" w:rsidR="00F16573" w:rsidRDefault="00F16573">
            <w:pPr>
              <w:spacing w:after="0" w:line="240" w:lineRule="auto"/>
              <w:rPr>
                <w:lang w:val="en-GB"/>
              </w:rPr>
            </w:pPr>
          </w:p>
        </w:tc>
      </w:tr>
    </w:tbl>
    <w:p w14:paraId="06CEFE01" w14:textId="77777777" w:rsidR="00F16573" w:rsidRDefault="00F16573">
      <w:pPr>
        <w:spacing w:after="0"/>
        <w:rPr>
          <w:lang w:val="en-GB"/>
        </w:rPr>
      </w:pP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2234"/>
        <w:gridCol w:w="6978"/>
      </w:tblGrid>
      <w:tr w:rsidR="00F16573" w:rsidRPr="005F6D77" w14:paraId="61482025" w14:textId="77777777">
        <w:tc>
          <w:tcPr>
            <w:tcW w:w="2234" w:type="dxa"/>
            <w:shd w:val="clear" w:color="auto" w:fill="auto"/>
          </w:tcPr>
          <w:p w14:paraId="4DF3174C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Course pre-requisites</w:t>
            </w:r>
          </w:p>
        </w:tc>
        <w:tc>
          <w:tcPr>
            <w:tcW w:w="6977" w:type="dxa"/>
            <w:shd w:val="clear" w:color="auto" w:fill="auto"/>
          </w:tcPr>
          <w:p w14:paraId="01D19B86" w14:textId="4D8E4833" w:rsidR="00F16573" w:rsidRDefault="00BB2C3D" w:rsidP="00BB2C3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</w:t>
            </w:r>
            <w:r w:rsidRPr="00BB2C3D">
              <w:rPr>
                <w:lang w:val="en-GB"/>
              </w:rPr>
              <w:t xml:space="preserve">asic knowledge of social communication channels.   </w:t>
            </w:r>
          </w:p>
        </w:tc>
      </w:tr>
    </w:tbl>
    <w:p w14:paraId="27061BB0" w14:textId="77777777" w:rsidR="00F16573" w:rsidRDefault="00F16573">
      <w:pPr>
        <w:spacing w:after="0"/>
        <w:rPr>
          <w:lang w:val="en-GB"/>
        </w:rPr>
      </w:pPr>
    </w:p>
    <w:p w14:paraId="3060FD2A" w14:textId="77777777" w:rsidR="00F16573" w:rsidRDefault="00F16573">
      <w:pPr>
        <w:spacing w:after="0"/>
        <w:rPr>
          <w:lang w:val="en-GB"/>
        </w:rPr>
      </w:pPr>
    </w:p>
    <w:p w14:paraId="13DD0003" w14:textId="77777777" w:rsidR="00F16573" w:rsidRDefault="00533D2C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Objectives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16573" w:rsidRPr="005F6D77" w14:paraId="27BE500F" w14:textId="77777777">
        <w:tc>
          <w:tcPr>
            <w:tcW w:w="9212" w:type="dxa"/>
            <w:shd w:val="clear" w:color="auto" w:fill="auto"/>
          </w:tcPr>
          <w:p w14:paraId="20563F12" w14:textId="68582F2C" w:rsidR="00F16573" w:rsidRDefault="00090A73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O1. </w:t>
            </w:r>
            <w:r w:rsidR="00BB2C3D">
              <w:rPr>
                <w:lang w:val="en-GB"/>
              </w:rPr>
              <w:t>Students broaden their</w:t>
            </w:r>
            <w:r w:rsidR="00BB2C3D" w:rsidRPr="00BB2C3D">
              <w:rPr>
                <w:lang w:val="en-GB"/>
              </w:rPr>
              <w:t xml:space="preserve"> knowledge of international popular literature. </w:t>
            </w:r>
          </w:p>
        </w:tc>
      </w:tr>
      <w:tr w:rsidR="00F16573" w:rsidRPr="005F6D77" w14:paraId="11FAB6BD" w14:textId="77777777">
        <w:tc>
          <w:tcPr>
            <w:tcW w:w="9212" w:type="dxa"/>
            <w:shd w:val="clear" w:color="auto" w:fill="auto"/>
          </w:tcPr>
          <w:p w14:paraId="4B1223F8" w14:textId="6E4B54CD" w:rsidR="00F16573" w:rsidRDefault="00BB2C3D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O2. </w:t>
            </w:r>
            <w:r w:rsidRPr="00BB2C3D">
              <w:rPr>
                <w:lang w:val="en-GB"/>
              </w:rPr>
              <w:t>Students, by means of various interpretative and creative exercises, develop literary knowledge and analytic</w:t>
            </w:r>
            <w:r>
              <w:rPr>
                <w:lang w:val="en-GB"/>
              </w:rPr>
              <w:t>al</w:t>
            </w:r>
            <w:r w:rsidRPr="00BB2C3D">
              <w:rPr>
                <w:lang w:val="en-GB"/>
              </w:rPr>
              <w:t xml:space="preserve"> skills needed to critically evaluate the works, to summarize the texts, to formulate mature opinions, and to appreciate the essence of literary texts.</w:t>
            </w:r>
          </w:p>
        </w:tc>
      </w:tr>
    </w:tbl>
    <w:p w14:paraId="20690EEA" w14:textId="77777777" w:rsidR="00F16573" w:rsidRDefault="00F16573">
      <w:pPr>
        <w:spacing w:after="0"/>
        <w:rPr>
          <w:lang w:val="en-GB"/>
        </w:rPr>
      </w:pPr>
    </w:p>
    <w:p w14:paraId="796DF827" w14:textId="77777777" w:rsidR="00F16573" w:rsidRDefault="00533D2C">
      <w:pPr>
        <w:rPr>
          <w:lang w:val="en-GB"/>
        </w:rPr>
      </w:pPr>
      <w:r w:rsidRPr="00BB2C3D">
        <w:rPr>
          <w:lang w:val="en-US"/>
        </w:rPr>
        <w:br w:type="page"/>
      </w:r>
    </w:p>
    <w:p w14:paraId="0AD5E582" w14:textId="77777777" w:rsidR="00F16573" w:rsidRDefault="00F16573">
      <w:pPr>
        <w:spacing w:after="0"/>
        <w:rPr>
          <w:lang w:val="en-GB"/>
        </w:rPr>
      </w:pPr>
    </w:p>
    <w:p w14:paraId="4AD27116" w14:textId="77777777" w:rsidR="00F16573" w:rsidRDefault="00533D2C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learning outcomes with reference to programme learning outcomes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1100"/>
        <w:gridCol w:w="5952"/>
        <w:gridCol w:w="2159"/>
      </w:tblGrid>
      <w:tr w:rsidR="00F16573" w:rsidRPr="005F6D77" w14:paraId="7D6B6103" w14:textId="77777777">
        <w:tc>
          <w:tcPr>
            <w:tcW w:w="1100" w:type="dxa"/>
            <w:shd w:val="clear" w:color="auto" w:fill="auto"/>
            <w:vAlign w:val="center"/>
          </w:tcPr>
          <w:p w14:paraId="06493010" w14:textId="77777777" w:rsidR="00F16573" w:rsidRDefault="00533D2C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40C58BD6" w14:textId="77777777" w:rsidR="00F16573" w:rsidRDefault="00F16573">
            <w:pPr>
              <w:spacing w:after="0" w:line="24" w:lineRule="atLeast"/>
              <w:ind w:firstLine="33"/>
              <w:jc w:val="center"/>
              <w:rPr>
                <w:lang w:val="en-GB"/>
              </w:rPr>
            </w:pPr>
          </w:p>
        </w:tc>
        <w:tc>
          <w:tcPr>
            <w:tcW w:w="5952" w:type="dxa"/>
            <w:shd w:val="clear" w:color="auto" w:fill="auto"/>
            <w:vAlign w:val="center"/>
          </w:tcPr>
          <w:p w14:paraId="75926928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Description of course learning outcome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CD90A43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Reference to programme learning outcome</w:t>
            </w:r>
          </w:p>
        </w:tc>
      </w:tr>
      <w:tr w:rsidR="00F16573" w14:paraId="0B35B360" w14:textId="77777777">
        <w:tc>
          <w:tcPr>
            <w:tcW w:w="9211" w:type="dxa"/>
            <w:gridSpan w:val="3"/>
            <w:shd w:val="clear" w:color="auto" w:fill="auto"/>
          </w:tcPr>
          <w:p w14:paraId="1B75A488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F16573" w:rsidRPr="00F235F5" w14:paraId="3B4BE4DE" w14:textId="77777777">
        <w:tc>
          <w:tcPr>
            <w:tcW w:w="1100" w:type="dxa"/>
            <w:shd w:val="clear" w:color="auto" w:fill="auto"/>
          </w:tcPr>
          <w:p w14:paraId="262F25AB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5952" w:type="dxa"/>
            <w:shd w:val="clear" w:color="auto" w:fill="auto"/>
          </w:tcPr>
          <w:p w14:paraId="79C4E902" w14:textId="577E45EB" w:rsidR="00F16573" w:rsidRDefault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knows </w:t>
            </w:r>
            <w:r>
              <w:rPr>
                <w:lang w:val="en-US"/>
              </w:rPr>
              <w:t xml:space="preserve">contemporary literary trends, </w:t>
            </w:r>
            <w:r w:rsidRPr="00931C31">
              <w:rPr>
                <w:lang w:val="en-US"/>
              </w:rPr>
              <w:t>narrative structures</w:t>
            </w:r>
            <w:r>
              <w:rPr>
                <w:lang w:val="en-US"/>
              </w:rPr>
              <w:t xml:space="preserve"> and genres</w:t>
            </w:r>
            <w:r w:rsidRPr="00931C3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 w:rsidRPr="00931C31">
              <w:rPr>
                <w:lang w:val="en-US"/>
              </w:rPr>
              <w:t>media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2159" w:type="dxa"/>
            <w:shd w:val="clear" w:color="auto" w:fill="auto"/>
          </w:tcPr>
          <w:p w14:paraId="13914EF0" w14:textId="77777777" w:rsidR="00F235F5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K_W01</w:t>
            </w:r>
          </w:p>
          <w:p w14:paraId="122BF468" w14:textId="488E0FCC" w:rsidR="00F16573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K_W04</w:t>
            </w:r>
          </w:p>
        </w:tc>
      </w:tr>
      <w:tr w:rsidR="00F16573" w:rsidRPr="00F235F5" w14:paraId="28A85642" w14:textId="77777777">
        <w:tc>
          <w:tcPr>
            <w:tcW w:w="1100" w:type="dxa"/>
            <w:shd w:val="clear" w:color="auto" w:fill="auto"/>
          </w:tcPr>
          <w:p w14:paraId="6997DD21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5952" w:type="dxa"/>
            <w:shd w:val="clear" w:color="auto" w:fill="auto"/>
          </w:tcPr>
          <w:p w14:paraId="020B3BF2" w14:textId="538F49FD" w:rsidR="00F16573" w:rsidRDefault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Knows how texts and stories function in contemporary society</w:t>
            </w:r>
          </w:p>
        </w:tc>
        <w:tc>
          <w:tcPr>
            <w:tcW w:w="2159" w:type="dxa"/>
            <w:shd w:val="clear" w:color="auto" w:fill="auto"/>
          </w:tcPr>
          <w:p w14:paraId="0407572F" w14:textId="0F91F53C" w:rsidR="00F16573" w:rsidRDefault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K_W03</w:t>
            </w:r>
          </w:p>
        </w:tc>
      </w:tr>
      <w:tr w:rsidR="00F16573" w14:paraId="73C60727" w14:textId="77777777">
        <w:tc>
          <w:tcPr>
            <w:tcW w:w="9211" w:type="dxa"/>
            <w:gridSpan w:val="3"/>
            <w:shd w:val="clear" w:color="auto" w:fill="auto"/>
          </w:tcPr>
          <w:p w14:paraId="75D7D2FC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SKILLS</w:t>
            </w:r>
          </w:p>
        </w:tc>
      </w:tr>
      <w:tr w:rsidR="00F16573" w:rsidRPr="00F235F5" w14:paraId="16D67A13" w14:textId="77777777">
        <w:tc>
          <w:tcPr>
            <w:tcW w:w="1100" w:type="dxa"/>
            <w:shd w:val="clear" w:color="auto" w:fill="auto"/>
          </w:tcPr>
          <w:p w14:paraId="0F0D5BE1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5952" w:type="dxa"/>
            <w:shd w:val="clear" w:color="auto" w:fill="auto"/>
          </w:tcPr>
          <w:p w14:paraId="0E8A9232" w14:textId="31EC40CE" w:rsidR="00F16573" w:rsidRDefault="00F235F5">
            <w:pPr>
              <w:spacing w:after="0" w:line="240" w:lineRule="auto"/>
              <w:rPr>
                <w:lang w:val="en-GB"/>
              </w:rPr>
            </w:pPr>
            <w:r w:rsidRPr="00931C31">
              <w:rPr>
                <w:lang w:val="en-US"/>
              </w:rPr>
              <w:t>is able</w:t>
            </w:r>
            <w:r>
              <w:rPr>
                <w:lang w:val="en-US"/>
              </w:rPr>
              <w:t xml:space="preserve"> to</w:t>
            </w:r>
            <w:r w:rsidRPr="00931C3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identify and analyze contemporary literary trends, </w:t>
            </w:r>
            <w:r w:rsidRPr="00931C31">
              <w:rPr>
                <w:lang w:val="en-US"/>
              </w:rPr>
              <w:t>narrative structures</w:t>
            </w:r>
            <w:r>
              <w:rPr>
                <w:lang w:val="en-US"/>
              </w:rPr>
              <w:t xml:space="preserve"> and genres</w:t>
            </w:r>
            <w:r w:rsidRPr="00931C31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in </w:t>
            </w:r>
            <w:r w:rsidRPr="00931C31">
              <w:rPr>
                <w:lang w:val="en-US"/>
              </w:rPr>
              <w:t>media</w:t>
            </w:r>
          </w:p>
        </w:tc>
        <w:tc>
          <w:tcPr>
            <w:tcW w:w="2159" w:type="dxa"/>
            <w:shd w:val="clear" w:color="auto" w:fill="auto"/>
          </w:tcPr>
          <w:p w14:paraId="75173844" w14:textId="3C867DE4" w:rsidR="00F16573" w:rsidRDefault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K_U04</w:t>
            </w:r>
          </w:p>
        </w:tc>
      </w:tr>
      <w:tr w:rsidR="00F235F5" w:rsidRPr="00F235F5" w14:paraId="4A75293F" w14:textId="77777777">
        <w:tc>
          <w:tcPr>
            <w:tcW w:w="1100" w:type="dxa"/>
            <w:shd w:val="clear" w:color="auto" w:fill="auto"/>
          </w:tcPr>
          <w:p w14:paraId="3D15D7A3" w14:textId="77777777" w:rsidR="00F235F5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U_02</w:t>
            </w:r>
          </w:p>
        </w:tc>
        <w:tc>
          <w:tcPr>
            <w:tcW w:w="5952" w:type="dxa"/>
            <w:shd w:val="clear" w:color="auto" w:fill="auto"/>
          </w:tcPr>
          <w:p w14:paraId="09FE4C8E" w14:textId="4E0AD451" w:rsidR="00F235F5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US"/>
              </w:rPr>
              <w:t>Is able to</w:t>
            </w:r>
            <w:r w:rsidRPr="00D16B34">
              <w:rPr>
                <w:lang w:val="en-US"/>
              </w:rPr>
              <w:t xml:space="preserve"> use specialized language and communicate in a precise and consistent way using different channels</w:t>
            </w:r>
            <w:r>
              <w:rPr>
                <w:lang w:val="en-US"/>
              </w:rPr>
              <w:t xml:space="preserve"> and</w:t>
            </w:r>
            <w:r w:rsidRPr="00D16B34">
              <w:rPr>
                <w:lang w:val="en-US"/>
              </w:rPr>
              <w:t xml:space="preserve"> communication techniques</w:t>
            </w:r>
          </w:p>
        </w:tc>
        <w:tc>
          <w:tcPr>
            <w:tcW w:w="2159" w:type="dxa"/>
            <w:shd w:val="clear" w:color="auto" w:fill="auto"/>
          </w:tcPr>
          <w:p w14:paraId="7BCB89DF" w14:textId="48D22AE7" w:rsidR="00F235F5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K_U06</w:t>
            </w:r>
          </w:p>
        </w:tc>
      </w:tr>
      <w:tr w:rsidR="00F235F5" w14:paraId="63472523" w14:textId="77777777">
        <w:tc>
          <w:tcPr>
            <w:tcW w:w="9211" w:type="dxa"/>
            <w:gridSpan w:val="3"/>
            <w:shd w:val="clear" w:color="auto" w:fill="auto"/>
          </w:tcPr>
          <w:p w14:paraId="57BF5C5C" w14:textId="77777777" w:rsidR="00F235F5" w:rsidRDefault="00F235F5" w:rsidP="00F235F5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F235F5" w:rsidRPr="00F235F5" w14:paraId="25D16125" w14:textId="77777777">
        <w:tc>
          <w:tcPr>
            <w:tcW w:w="1100" w:type="dxa"/>
            <w:shd w:val="clear" w:color="auto" w:fill="auto"/>
          </w:tcPr>
          <w:p w14:paraId="3B68A940" w14:textId="77777777" w:rsidR="00F235F5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5952" w:type="dxa"/>
            <w:shd w:val="clear" w:color="auto" w:fill="auto"/>
          </w:tcPr>
          <w:p w14:paraId="3931C78E" w14:textId="154BA7FA" w:rsidR="00F235F5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understands how literature and storytelling can influence people and societies  </w:t>
            </w:r>
          </w:p>
        </w:tc>
        <w:tc>
          <w:tcPr>
            <w:tcW w:w="2159" w:type="dxa"/>
            <w:shd w:val="clear" w:color="auto" w:fill="auto"/>
          </w:tcPr>
          <w:p w14:paraId="45C15B1E" w14:textId="6B04727F" w:rsidR="00F235F5" w:rsidRDefault="00F235F5" w:rsidP="00F235F5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K_K02</w:t>
            </w:r>
          </w:p>
        </w:tc>
      </w:tr>
    </w:tbl>
    <w:p w14:paraId="7A5BAA47" w14:textId="77777777" w:rsidR="00F16573" w:rsidRDefault="00F16573">
      <w:pPr>
        <w:pStyle w:val="Akapitzlist"/>
        <w:ind w:left="1080"/>
        <w:rPr>
          <w:b/>
          <w:lang w:val="en-GB"/>
        </w:rPr>
      </w:pPr>
    </w:p>
    <w:p w14:paraId="29A052BE" w14:textId="77777777" w:rsidR="00F16573" w:rsidRDefault="00533D2C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Course Content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16573" w:rsidRPr="005F6D77" w14:paraId="4FA856EE" w14:textId="77777777">
        <w:tc>
          <w:tcPr>
            <w:tcW w:w="9212" w:type="dxa"/>
            <w:shd w:val="clear" w:color="auto" w:fill="auto"/>
          </w:tcPr>
          <w:p w14:paraId="73FF364F" w14:textId="0CD3FF58" w:rsid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course highlights the main contemporary literary trends by looking into the most popular modern genres like suspense thriller, political fiction, romance, coming-of-age story, </w:t>
            </w:r>
            <w:r w:rsidR="000F2CB7">
              <w:rPr>
                <w:b/>
                <w:lang w:val="en-GB"/>
              </w:rPr>
              <w:t>detective novel, horror, biography.</w:t>
            </w:r>
            <w:r>
              <w:rPr>
                <w:b/>
                <w:lang w:val="en-GB"/>
              </w:rPr>
              <w:t xml:space="preserve"> </w:t>
            </w:r>
            <w:r w:rsidR="000F2CB7">
              <w:rPr>
                <w:b/>
                <w:lang w:val="en-GB"/>
              </w:rPr>
              <w:t xml:space="preserve">The students analyse novels by discussing issues such as: </w:t>
            </w:r>
          </w:p>
          <w:p w14:paraId="5A92BA50" w14:textId="41B91248" w:rsidR="00BB2C3D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 w:rsidRPr="00BB2C3D">
              <w:rPr>
                <w:b/>
                <w:lang w:val="en-GB"/>
              </w:rPr>
              <w:t xml:space="preserve">The use of suspense in various novels.    </w:t>
            </w:r>
          </w:p>
          <w:p w14:paraId="4A026E4C" w14:textId="12CC6FC2" w:rsidR="00BB2C3D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importance of</w:t>
            </w:r>
            <w:r w:rsidRPr="00BB2C3D">
              <w:rPr>
                <w:b/>
                <w:lang w:val="en-GB"/>
              </w:rPr>
              <w:t xml:space="preserve"> style and stylistic devices</w:t>
            </w:r>
            <w:r>
              <w:rPr>
                <w:b/>
                <w:lang w:val="en-GB"/>
              </w:rPr>
              <w:t xml:space="preserve"> in creating narratives</w:t>
            </w:r>
            <w:r w:rsidRPr="00BB2C3D">
              <w:rPr>
                <w:b/>
                <w:lang w:val="en-GB"/>
              </w:rPr>
              <w:t xml:space="preserve">.  </w:t>
            </w:r>
          </w:p>
          <w:p w14:paraId="5A4E2E47" w14:textId="4549D2B7" w:rsidR="00BB2C3D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 w:rsidRPr="00BB2C3D">
              <w:rPr>
                <w:b/>
                <w:lang w:val="en-GB"/>
              </w:rPr>
              <w:t>Evaluating novel</w:t>
            </w:r>
            <w:r>
              <w:rPr>
                <w:b/>
                <w:lang w:val="en-GB"/>
              </w:rPr>
              <w:t>s</w:t>
            </w:r>
            <w:r w:rsidRPr="00BB2C3D">
              <w:rPr>
                <w:b/>
                <w:lang w:val="en-GB"/>
              </w:rPr>
              <w:t xml:space="preserve"> based on short extract</w:t>
            </w:r>
            <w:r>
              <w:rPr>
                <w:b/>
                <w:lang w:val="en-GB"/>
              </w:rPr>
              <w:t>s</w:t>
            </w:r>
            <w:r w:rsidRPr="00BB2C3D">
              <w:rPr>
                <w:b/>
                <w:lang w:val="en-GB"/>
              </w:rPr>
              <w:t xml:space="preserve">.  </w:t>
            </w:r>
          </w:p>
          <w:p w14:paraId="04523D60" w14:textId="52414543" w:rsidR="00BB2C3D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D</w:t>
            </w:r>
            <w:r w:rsidRPr="00BB2C3D">
              <w:rPr>
                <w:b/>
                <w:lang w:val="en-GB"/>
              </w:rPr>
              <w:t>efin</w:t>
            </w:r>
            <w:r>
              <w:rPr>
                <w:b/>
                <w:lang w:val="en-GB"/>
              </w:rPr>
              <w:t>ing</w:t>
            </w:r>
            <w:r w:rsidRPr="00BB2C3D">
              <w:rPr>
                <w:b/>
                <w:lang w:val="en-GB"/>
              </w:rPr>
              <w:t xml:space="preserve"> uniqueness and originality</w:t>
            </w:r>
            <w:r>
              <w:rPr>
                <w:b/>
                <w:lang w:val="en-GB"/>
              </w:rPr>
              <w:t xml:space="preserve"> through characteristic features</w:t>
            </w:r>
            <w:r w:rsidRPr="00BB2C3D">
              <w:rPr>
                <w:b/>
                <w:lang w:val="en-GB"/>
              </w:rPr>
              <w:t xml:space="preserve">.  </w:t>
            </w:r>
          </w:p>
          <w:p w14:paraId="62094EB6" w14:textId="1E977490" w:rsidR="00BB2C3D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 w:rsidRPr="00BB2C3D">
              <w:rPr>
                <w:b/>
                <w:lang w:val="en-GB"/>
              </w:rPr>
              <w:t xml:space="preserve">Genre differences among chosen works.  </w:t>
            </w:r>
          </w:p>
          <w:p w14:paraId="1A1D76DC" w14:textId="4EA689C3" w:rsidR="00BB2C3D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 w:rsidRPr="00BB2C3D">
              <w:rPr>
                <w:b/>
                <w:lang w:val="en-GB"/>
              </w:rPr>
              <w:t xml:space="preserve">Identifying and interpreting humour. </w:t>
            </w:r>
          </w:p>
          <w:p w14:paraId="7765881F" w14:textId="2E54DF7A" w:rsidR="00BB2C3D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 w:rsidRPr="00BB2C3D">
              <w:rPr>
                <w:b/>
                <w:lang w:val="en-GB"/>
              </w:rPr>
              <w:t xml:space="preserve">Narrative patterns and techniques.  </w:t>
            </w:r>
          </w:p>
          <w:p w14:paraId="0692FAB3" w14:textId="447835AD" w:rsidR="00F16573" w:rsidRPr="00BB2C3D" w:rsidRDefault="00BB2C3D" w:rsidP="00BB2C3D">
            <w:pPr>
              <w:spacing w:after="0" w:line="240" w:lineRule="auto"/>
              <w:rPr>
                <w:b/>
                <w:lang w:val="en-GB"/>
              </w:rPr>
            </w:pPr>
            <w:r w:rsidRPr="00BB2C3D">
              <w:rPr>
                <w:b/>
                <w:lang w:val="en-GB"/>
              </w:rPr>
              <w:t xml:space="preserve">Elements of kitsch and pulp.  </w:t>
            </w:r>
          </w:p>
        </w:tc>
      </w:tr>
    </w:tbl>
    <w:p w14:paraId="081BC141" w14:textId="77777777" w:rsidR="00F16573" w:rsidRDefault="00F16573">
      <w:pPr>
        <w:rPr>
          <w:b/>
          <w:lang w:val="en-GB"/>
        </w:rPr>
      </w:pPr>
    </w:p>
    <w:p w14:paraId="2BD19775" w14:textId="77777777" w:rsidR="00F16573" w:rsidRDefault="00533D2C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Didactic methods used and forms of assessment of learning outcomes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F16573" w:rsidRPr="005F6D77" w14:paraId="4D611547" w14:textId="77777777" w:rsidTr="00F235F5">
        <w:tc>
          <w:tcPr>
            <w:tcW w:w="1101" w:type="dxa"/>
            <w:shd w:val="clear" w:color="auto" w:fill="auto"/>
            <w:vAlign w:val="center"/>
          </w:tcPr>
          <w:p w14:paraId="22AC29DD" w14:textId="77777777" w:rsidR="00F16573" w:rsidRDefault="00533D2C">
            <w:pPr>
              <w:spacing w:after="0" w:line="24" w:lineRule="atLeast"/>
              <w:ind w:firstLine="33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Symbol</w:t>
            </w:r>
          </w:p>
          <w:p w14:paraId="41CECC44" w14:textId="77777777" w:rsidR="00F16573" w:rsidRDefault="00F16573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7F2365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Didactic methods</w:t>
            </w:r>
          </w:p>
          <w:p w14:paraId="697DB999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460F9B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Forms of assessment</w:t>
            </w:r>
          </w:p>
          <w:p w14:paraId="75D16BCC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7E215DAD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Documentation type</w:t>
            </w:r>
          </w:p>
          <w:p w14:paraId="6113BDB1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i/>
                <w:sz w:val="18"/>
                <w:szCs w:val="18"/>
                <w:lang w:val="en-GB"/>
              </w:rPr>
              <w:t>(choose from the list)</w:t>
            </w:r>
          </w:p>
        </w:tc>
      </w:tr>
      <w:tr w:rsidR="00F16573" w14:paraId="092F506E" w14:textId="77777777" w:rsidTr="00F235F5">
        <w:tc>
          <w:tcPr>
            <w:tcW w:w="9212" w:type="dxa"/>
            <w:gridSpan w:val="4"/>
            <w:shd w:val="clear" w:color="auto" w:fill="auto"/>
            <w:vAlign w:val="center"/>
          </w:tcPr>
          <w:p w14:paraId="207A26CD" w14:textId="77777777" w:rsidR="00F16573" w:rsidRDefault="00533D2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KNOWLEDGE</w:t>
            </w:r>
          </w:p>
        </w:tc>
      </w:tr>
      <w:tr w:rsidR="00960B97" w:rsidRPr="00960B97" w14:paraId="68E9E0CA" w14:textId="77777777" w:rsidTr="00F235F5">
        <w:tc>
          <w:tcPr>
            <w:tcW w:w="1101" w:type="dxa"/>
            <w:shd w:val="clear" w:color="auto" w:fill="auto"/>
          </w:tcPr>
          <w:p w14:paraId="772D4A26" w14:textId="77777777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W_01</w:t>
            </w:r>
          </w:p>
        </w:tc>
        <w:tc>
          <w:tcPr>
            <w:tcW w:w="2693" w:type="dxa"/>
            <w:shd w:val="clear" w:color="auto" w:fill="auto"/>
          </w:tcPr>
          <w:p w14:paraId="1F828ADE" w14:textId="5FA28E0C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lecture, discussion, case study</w:t>
            </w:r>
          </w:p>
        </w:tc>
        <w:tc>
          <w:tcPr>
            <w:tcW w:w="2835" w:type="dxa"/>
            <w:shd w:val="clear" w:color="auto" w:fill="auto"/>
          </w:tcPr>
          <w:p w14:paraId="6E163240" w14:textId="747E1F58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Writing assignment</w:t>
            </w:r>
            <w:r w:rsidR="00D71216">
              <w:rPr>
                <w:lang w:val="en-GB"/>
              </w:rPr>
              <w:t>/Test</w:t>
            </w:r>
          </w:p>
        </w:tc>
        <w:tc>
          <w:tcPr>
            <w:tcW w:w="2583" w:type="dxa"/>
            <w:shd w:val="clear" w:color="auto" w:fill="auto"/>
          </w:tcPr>
          <w:p w14:paraId="6492A5A7" w14:textId="4AE50E7D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sheet, Moodle</w:t>
            </w:r>
          </w:p>
        </w:tc>
      </w:tr>
      <w:tr w:rsidR="00960B97" w:rsidRPr="00960B97" w14:paraId="3BCE1D29" w14:textId="77777777" w:rsidTr="00F235F5">
        <w:tc>
          <w:tcPr>
            <w:tcW w:w="1101" w:type="dxa"/>
            <w:shd w:val="clear" w:color="auto" w:fill="auto"/>
          </w:tcPr>
          <w:p w14:paraId="6F619F83" w14:textId="77777777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W_02</w:t>
            </w:r>
          </w:p>
        </w:tc>
        <w:tc>
          <w:tcPr>
            <w:tcW w:w="2693" w:type="dxa"/>
            <w:shd w:val="clear" w:color="auto" w:fill="auto"/>
          </w:tcPr>
          <w:p w14:paraId="0F3167A5" w14:textId="23C201A3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Conversation lecture, discussion, case study</w:t>
            </w:r>
          </w:p>
        </w:tc>
        <w:tc>
          <w:tcPr>
            <w:tcW w:w="2835" w:type="dxa"/>
            <w:shd w:val="clear" w:color="auto" w:fill="auto"/>
          </w:tcPr>
          <w:p w14:paraId="7561CC93" w14:textId="3F61FBEF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Writing assignment</w:t>
            </w:r>
            <w:r w:rsidR="00D71216">
              <w:rPr>
                <w:lang w:val="en-GB"/>
              </w:rPr>
              <w:t>/Test</w:t>
            </w:r>
          </w:p>
        </w:tc>
        <w:tc>
          <w:tcPr>
            <w:tcW w:w="2583" w:type="dxa"/>
            <w:shd w:val="clear" w:color="auto" w:fill="auto"/>
          </w:tcPr>
          <w:p w14:paraId="43F226FA" w14:textId="7FAC4586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sheet, Moodle</w:t>
            </w:r>
          </w:p>
        </w:tc>
      </w:tr>
      <w:tr w:rsidR="00960B97" w14:paraId="6C362D2C" w14:textId="77777777" w:rsidTr="00F235F5">
        <w:tc>
          <w:tcPr>
            <w:tcW w:w="9212" w:type="dxa"/>
            <w:gridSpan w:val="4"/>
            <w:shd w:val="clear" w:color="auto" w:fill="auto"/>
            <w:vAlign w:val="center"/>
          </w:tcPr>
          <w:p w14:paraId="7B57A3DC" w14:textId="77777777" w:rsidR="00960B97" w:rsidRDefault="00960B97" w:rsidP="00960B9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SKILLS </w:t>
            </w:r>
          </w:p>
        </w:tc>
      </w:tr>
      <w:tr w:rsidR="00960B97" w14:paraId="1BB1DB87" w14:textId="77777777" w:rsidTr="00F235F5">
        <w:tc>
          <w:tcPr>
            <w:tcW w:w="1101" w:type="dxa"/>
            <w:shd w:val="clear" w:color="auto" w:fill="auto"/>
          </w:tcPr>
          <w:p w14:paraId="756FF3BB" w14:textId="77777777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U_01</w:t>
            </w:r>
          </w:p>
        </w:tc>
        <w:tc>
          <w:tcPr>
            <w:tcW w:w="2693" w:type="dxa"/>
            <w:shd w:val="clear" w:color="auto" w:fill="auto"/>
          </w:tcPr>
          <w:p w14:paraId="62E64BC9" w14:textId="0B00181C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Discussion, case study</w:t>
            </w:r>
          </w:p>
        </w:tc>
        <w:tc>
          <w:tcPr>
            <w:tcW w:w="2835" w:type="dxa"/>
            <w:shd w:val="clear" w:color="auto" w:fill="auto"/>
          </w:tcPr>
          <w:p w14:paraId="37F64BCA" w14:textId="39686349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Writing assignment</w:t>
            </w:r>
            <w:r w:rsidR="00D71216">
              <w:rPr>
                <w:lang w:val="en-GB"/>
              </w:rPr>
              <w:t>/Oral Examination</w:t>
            </w:r>
          </w:p>
        </w:tc>
        <w:tc>
          <w:tcPr>
            <w:tcW w:w="2583" w:type="dxa"/>
            <w:shd w:val="clear" w:color="auto" w:fill="auto"/>
          </w:tcPr>
          <w:p w14:paraId="7EC66231" w14:textId="0EF42EBA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sheet, Moodle</w:t>
            </w:r>
          </w:p>
        </w:tc>
      </w:tr>
      <w:tr w:rsidR="00960B97" w14:paraId="1B4A2B5F" w14:textId="77777777" w:rsidTr="00F235F5">
        <w:tc>
          <w:tcPr>
            <w:tcW w:w="1101" w:type="dxa"/>
            <w:shd w:val="clear" w:color="auto" w:fill="auto"/>
          </w:tcPr>
          <w:p w14:paraId="113F88E9" w14:textId="77777777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U_02</w:t>
            </w:r>
          </w:p>
        </w:tc>
        <w:tc>
          <w:tcPr>
            <w:tcW w:w="2693" w:type="dxa"/>
            <w:shd w:val="clear" w:color="auto" w:fill="auto"/>
          </w:tcPr>
          <w:p w14:paraId="4D741555" w14:textId="59EF9F68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Discussion</w:t>
            </w:r>
          </w:p>
        </w:tc>
        <w:tc>
          <w:tcPr>
            <w:tcW w:w="2835" w:type="dxa"/>
            <w:shd w:val="clear" w:color="auto" w:fill="auto"/>
          </w:tcPr>
          <w:p w14:paraId="79632AAD" w14:textId="2C57D7CA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Writing assignment</w:t>
            </w:r>
            <w:r w:rsidR="00D71216">
              <w:rPr>
                <w:lang w:val="en-GB"/>
              </w:rPr>
              <w:t>/Oral Examination</w:t>
            </w:r>
          </w:p>
        </w:tc>
        <w:tc>
          <w:tcPr>
            <w:tcW w:w="2583" w:type="dxa"/>
            <w:shd w:val="clear" w:color="auto" w:fill="auto"/>
          </w:tcPr>
          <w:p w14:paraId="6C693604" w14:textId="48B15196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Assessment sheet, Moodle</w:t>
            </w:r>
          </w:p>
        </w:tc>
      </w:tr>
      <w:tr w:rsidR="00960B97" w14:paraId="1F3D8EF4" w14:textId="77777777" w:rsidTr="00F235F5">
        <w:tc>
          <w:tcPr>
            <w:tcW w:w="9212" w:type="dxa"/>
            <w:gridSpan w:val="4"/>
            <w:shd w:val="clear" w:color="auto" w:fill="auto"/>
            <w:vAlign w:val="center"/>
          </w:tcPr>
          <w:p w14:paraId="5CAE213A" w14:textId="77777777" w:rsidR="00960B97" w:rsidRDefault="00960B97" w:rsidP="00960B97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SOCIAL COMPETENCIES</w:t>
            </w:r>
          </w:p>
        </w:tc>
      </w:tr>
      <w:tr w:rsidR="00960B97" w14:paraId="180C74EB" w14:textId="77777777" w:rsidTr="00F235F5">
        <w:tc>
          <w:tcPr>
            <w:tcW w:w="1101" w:type="dxa"/>
            <w:shd w:val="clear" w:color="auto" w:fill="auto"/>
          </w:tcPr>
          <w:p w14:paraId="17A1FB2A" w14:textId="77777777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K_01</w:t>
            </w:r>
          </w:p>
        </w:tc>
        <w:tc>
          <w:tcPr>
            <w:tcW w:w="2693" w:type="dxa"/>
            <w:shd w:val="clear" w:color="auto" w:fill="auto"/>
          </w:tcPr>
          <w:p w14:paraId="3C2D298A" w14:textId="18F6A2D3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Discussion </w:t>
            </w:r>
          </w:p>
        </w:tc>
        <w:tc>
          <w:tcPr>
            <w:tcW w:w="2835" w:type="dxa"/>
            <w:shd w:val="clear" w:color="auto" w:fill="auto"/>
          </w:tcPr>
          <w:p w14:paraId="2B9F5E36" w14:textId="7A59F567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Writing assignment</w:t>
            </w:r>
            <w:r w:rsidR="00D71216">
              <w:rPr>
                <w:lang w:val="en-GB"/>
              </w:rPr>
              <w:t xml:space="preserve">/Oral </w:t>
            </w:r>
            <w:r w:rsidR="00D71216">
              <w:rPr>
                <w:lang w:val="en-GB"/>
              </w:rPr>
              <w:lastRenderedPageBreak/>
              <w:t>Examination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2583" w:type="dxa"/>
            <w:shd w:val="clear" w:color="auto" w:fill="auto"/>
          </w:tcPr>
          <w:p w14:paraId="1BEE179C" w14:textId="5593D449" w:rsidR="00960B97" w:rsidRDefault="00960B97" w:rsidP="00960B9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lastRenderedPageBreak/>
              <w:t xml:space="preserve">Assessment sheet, </w:t>
            </w:r>
            <w:r>
              <w:rPr>
                <w:lang w:val="en-GB"/>
              </w:rPr>
              <w:lastRenderedPageBreak/>
              <w:t>Moodle</w:t>
            </w:r>
          </w:p>
        </w:tc>
      </w:tr>
    </w:tbl>
    <w:p w14:paraId="79A50B45" w14:textId="77777777" w:rsidR="00F16573" w:rsidRDefault="00F16573">
      <w:pPr>
        <w:spacing w:after="0"/>
        <w:rPr>
          <w:lang w:val="en-GB"/>
        </w:rPr>
      </w:pPr>
    </w:p>
    <w:p w14:paraId="4BAE4D6D" w14:textId="77777777" w:rsidR="00F16573" w:rsidRDefault="00F16573">
      <w:pPr>
        <w:pStyle w:val="Akapitzlist"/>
        <w:ind w:left="1080"/>
        <w:rPr>
          <w:b/>
          <w:lang w:val="en-GB"/>
        </w:rPr>
      </w:pPr>
    </w:p>
    <w:p w14:paraId="04DAE967" w14:textId="77777777" w:rsidR="000A2491" w:rsidRDefault="00533D2C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Grading criteria, weighting factors.</w:t>
      </w:r>
    </w:p>
    <w:p w14:paraId="33B421F9" w14:textId="6DF09E4E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>1. Constant evaluation (student observation</w:t>
      </w:r>
      <w:r w:rsidR="00D71216">
        <w:rPr>
          <w:lang w:val="en-US"/>
        </w:rPr>
        <w:t>, exercises on Moodle Platform</w:t>
      </w:r>
      <w:r w:rsidRPr="000A2491">
        <w:rPr>
          <w:lang w:val="en-US"/>
        </w:rPr>
        <w:t xml:space="preserve"> - evaluating the level of class participation) - </w:t>
      </w:r>
      <w:r w:rsidR="00D71216">
        <w:rPr>
          <w:lang w:val="en-US"/>
        </w:rPr>
        <w:t>4</w:t>
      </w:r>
      <w:r w:rsidRPr="000A2491">
        <w:rPr>
          <w:lang w:val="en-US"/>
        </w:rPr>
        <w:t xml:space="preserve">0% of overall mark  </w:t>
      </w:r>
    </w:p>
    <w:p w14:paraId="208812B1" w14:textId="0C6B5CBA" w:rsidR="000A2491" w:rsidRDefault="000A2491" w:rsidP="000A2491">
      <w:pPr>
        <w:rPr>
          <w:lang w:val="en-US"/>
        </w:rPr>
      </w:pPr>
      <w:r w:rsidRPr="000A2491">
        <w:rPr>
          <w:lang w:val="en-US"/>
        </w:rPr>
        <w:t>2. Oral exam (concer</w:t>
      </w:r>
      <w:r>
        <w:rPr>
          <w:lang w:val="en-US"/>
        </w:rPr>
        <w:t>n</w:t>
      </w:r>
      <w:r w:rsidRPr="000A2491">
        <w:rPr>
          <w:lang w:val="en-US"/>
        </w:rPr>
        <w:t>ing topics d</w:t>
      </w:r>
      <w:r>
        <w:rPr>
          <w:lang w:val="en-US"/>
        </w:rPr>
        <w:t>i</w:t>
      </w:r>
      <w:r w:rsidRPr="000A2491">
        <w:rPr>
          <w:lang w:val="en-US"/>
        </w:rPr>
        <w:t xml:space="preserve">scussed during classes) - </w:t>
      </w:r>
      <w:r w:rsidR="00D71216">
        <w:rPr>
          <w:lang w:val="en-US"/>
        </w:rPr>
        <w:t>3</w:t>
      </w:r>
      <w:r w:rsidRPr="000A2491">
        <w:rPr>
          <w:lang w:val="en-US"/>
        </w:rPr>
        <w:t xml:space="preserve">0% of overall mark </w:t>
      </w:r>
    </w:p>
    <w:p w14:paraId="0DD115AE" w14:textId="520A51D3" w:rsidR="00D71216" w:rsidRDefault="00D71216" w:rsidP="000A2491">
      <w:pPr>
        <w:rPr>
          <w:lang w:val="en-US"/>
        </w:rPr>
      </w:pPr>
      <w:r>
        <w:rPr>
          <w:lang w:val="en-US"/>
        </w:rPr>
        <w:t xml:space="preserve">3. Knowledge test  - 30% of overall mark </w:t>
      </w:r>
    </w:p>
    <w:p w14:paraId="7BFEAF69" w14:textId="77777777" w:rsidR="00D71216" w:rsidRPr="000A2491" w:rsidRDefault="00D71216" w:rsidP="000A2491">
      <w:pPr>
        <w:rPr>
          <w:lang w:val="en-US"/>
        </w:rPr>
      </w:pPr>
    </w:p>
    <w:p w14:paraId="1F41E3D9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 </w:t>
      </w:r>
    </w:p>
    <w:p w14:paraId="3DCEC39D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Failing Grade  </w:t>
      </w:r>
    </w:p>
    <w:p w14:paraId="40333853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(Knowledge) - The student does not know any terms in the field of contemporary literary trends and does not know the content of the literary works discussed during classes </w:t>
      </w:r>
    </w:p>
    <w:p w14:paraId="08049D46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(Skills) - The student cannot apply the basic techniques and interpretation methods required for the analysis of a literary work </w:t>
      </w:r>
    </w:p>
    <w:p w14:paraId="34124718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(Competences) - The student cannot organize an individual work workshop </w:t>
      </w:r>
    </w:p>
    <w:p w14:paraId="3C3E3431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  </w:t>
      </w:r>
    </w:p>
    <w:p w14:paraId="396518CA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Fair Grade </w:t>
      </w:r>
    </w:p>
    <w:p w14:paraId="7674C0D1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(K) - The student knows selected terms in the field of contemporary literary trends and knows the summary of the literary works discussed </w:t>
      </w:r>
    </w:p>
    <w:p w14:paraId="7815FE0B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(S) - The student can apply some of the techniques and interpretation methods required for the analysis of a literary work </w:t>
      </w:r>
    </w:p>
    <w:p w14:paraId="7EBFF064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 (C) - The student understands the need to organize his own work technique, but cannot do it in a competent manner </w:t>
      </w:r>
    </w:p>
    <w:p w14:paraId="24762B09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  </w:t>
      </w:r>
    </w:p>
    <w:p w14:paraId="645DB1BD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Good Grade </w:t>
      </w:r>
    </w:p>
    <w:p w14:paraId="797885B6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(K) - The student knows most of the terms in the field of contemporary literary trends and knows the content of the literary works discussed at a good level </w:t>
      </w:r>
    </w:p>
    <w:p w14:paraId="1FAE8018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(S) - The student can apply the techniques and interpretation methods required for the analysis of a literary work </w:t>
      </w:r>
    </w:p>
    <w:p w14:paraId="0474DEA1" w14:textId="5B3A6A06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 (C) - The student knows how to effectively </w:t>
      </w:r>
      <w:r>
        <w:rPr>
          <w:lang w:val="en-US"/>
        </w:rPr>
        <w:t xml:space="preserve">organize </w:t>
      </w:r>
      <w:r w:rsidRPr="000A2491">
        <w:rPr>
          <w:lang w:val="en-US"/>
        </w:rPr>
        <w:t>work</w:t>
      </w:r>
      <w:r>
        <w:rPr>
          <w:lang w:val="en-US"/>
        </w:rPr>
        <w:t>.</w:t>
      </w:r>
    </w:p>
    <w:p w14:paraId="128D8C06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  </w:t>
      </w:r>
    </w:p>
    <w:p w14:paraId="5B418B3C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lastRenderedPageBreak/>
        <w:t xml:space="preserve">Very good Grade </w:t>
      </w:r>
    </w:p>
    <w:p w14:paraId="7C875A74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(K) - The student knows all the required terms in the field of contemporary literary trends and knows very well the content of the literary works discussed </w:t>
      </w:r>
    </w:p>
    <w:p w14:paraId="6FA6164A" w14:textId="77777777" w:rsidR="000A2491" w:rsidRPr="000A2491" w:rsidRDefault="000A2491" w:rsidP="000A2491">
      <w:pPr>
        <w:rPr>
          <w:lang w:val="en-US"/>
        </w:rPr>
      </w:pPr>
      <w:r w:rsidRPr="000A2491">
        <w:rPr>
          <w:lang w:val="en-US"/>
        </w:rPr>
        <w:t xml:space="preserve">(S) - The student can apply all the techniques and interpretation methods required for the analysis of a literary work </w:t>
      </w:r>
    </w:p>
    <w:p w14:paraId="6AF90A07" w14:textId="77777777" w:rsidR="000A2491" w:rsidRDefault="000A2491" w:rsidP="000A2491">
      <w:pPr>
        <w:rPr>
          <w:lang w:val="en-US"/>
        </w:rPr>
      </w:pPr>
      <w:r w:rsidRPr="000A2491">
        <w:rPr>
          <w:lang w:val="en-US"/>
        </w:rPr>
        <w:t>(C) - Student can organize his own and his team’s work</w:t>
      </w:r>
      <w:r>
        <w:rPr>
          <w:lang w:val="en-US"/>
        </w:rPr>
        <w:t xml:space="preserve">. </w:t>
      </w:r>
      <w:r w:rsidRPr="000A2491">
        <w:rPr>
          <w:lang w:val="en-US"/>
        </w:rPr>
        <w:t xml:space="preserve"> </w:t>
      </w:r>
    </w:p>
    <w:p w14:paraId="4FE36197" w14:textId="77777777" w:rsidR="000A2491" w:rsidRDefault="000A2491" w:rsidP="000A2491">
      <w:pPr>
        <w:rPr>
          <w:b/>
          <w:lang w:val="en-GB"/>
        </w:rPr>
      </w:pPr>
    </w:p>
    <w:p w14:paraId="59704AD2" w14:textId="7B6325E4" w:rsidR="00F16573" w:rsidRPr="000A2491" w:rsidRDefault="00533D2C" w:rsidP="000A2491">
      <w:pPr>
        <w:pStyle w:val="Akapitzlist"/>
        <w:numPr>
          <w:ilvl w:val="0"/>
          <w:numId w:val="1"/>
        </w:numPr>
        <w:rPr>
          <w:lang w:val="en-US"/>
        </w:rPr>
      </w:pPr>
      <w:r w:rsidRPr="000A2491">
        <w:rPr>
          <w:b/>
          <w:lang w:val="en-GB"/>
        </w:rPr>
        <w:t>Student workload</w:t>
      </w:r>
    </w:p>
    <w:tbl>
      <w:tblPr>
        <w:tblStyle w:val="Tabela-Siatka"/>
        <w:tblW w:w="9211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F16573" w14:paraId="44807F4B" w14:textId="77777777">
        <w:tc>
          <w:tcPr>
            <w:tcW w:w="4605" w:type="dxa"/>
            <w:shd w:val="clear" w:color="auto" w:fill="auto"/>
          </w:tcPr>
          <w:p w14:paraId="43F344E9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Form of activity</w:t>
            </w:r>
          </w:p>
        </w:tc>
        <w:tc>
          <w:tcPr>
            <w:tcW w:w="4605" w:type="dxa"/>
            <w:shd w:val="clear" w:color="auto" w:fill="auto"/>
          </w:tcPr>
          <w:p w14:paraId="66A78AB0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</w:t>
            </w:r>
          </w:p>
        </w:tc>
      </w:tr>
      <w:tr w:rsidR="00F16573" w:rsidRPr="00090A73" w14:paraId="7C3B1237" w14:textId="77777777">
        <w:tc>
          <w:tcPr>
            <w:tcW w:w="4605" w:type="dxa"/>
            <w:shd w:val="clear" w:color="auto" w:fill="auto"/>
          </w:tcPr>
          <w:p w14:paraId="10A035AB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contact hours (with the teacher)</w:t>
            </w:r>
          </w:p>
          <w:p w14:paraId="6D37974B" w14:textId="77777777" w:rsidR="00F16573" w:rsidRDefault="00F16573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08B3FE9A" w14:textId="2B9BCFD6" w:rsidR="00F16573" w:rsidRDefault="000A2491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30</w:t>
            </w:r>
          </w:p>
        </w:tc>
      </w:tr>
      <w:tr w:rsidR="00F16573" w:rsidRPr="00090A73" w14:paraId="57336EC4" w14:textId="77777777">
        <w:tc>
          <w:tcPr>
            <w:tcW w:w="4605" w:type="dxa"/>
            <w:shd w:val="clear" w:color="auto" w:fill="auto"/>
          </w:tcPr>
          <w:p w14:paraId="0136B1A2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Number of hours of individual student work</w:t>
            </w:r>
          </w:p>
          <w:p w14:paraId="2A494BD3" w14:textId="77777777" w:rsidR="00F16573" w:rsidRDefault="00F16573">
            <w:p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</w:p>
        </w:tc>
        <w:tc>
          <w:tcPr>
            <w:tcW w:w="4605" w:type="dxa"/>
            <w:shd w:val="clear" w:color="auto" w:fill="auto"/>
          </w:tcPr>
          <w:p w14:paraId="58EEAB6E" w14:textId="5B624D18" w:rsidR="00F16573" w:rsidRDefault="000A2491">
            <w:pPr>
              <w:spacing w:after="0" w:line="24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70</w:t>
            </w:r>
          </w:p>
        </w:tc>
      </w:tr>
    </w:tbl>
    <w:p w14:paraId="6B2D4897" w14:textId="77777777" w:rsidR="00F16573" w:rsidRDefault="00F16573">
      <w:pPr>
        <w:spacing w:after="0"/>
        <w:rPr>
          <w:b/>
          <w:lang w:val="en-GB"/>
        </w:rPr>
      </w:pPr>
    </w:p>
    <w:p w14:paraId="4346BE91" w14:textId="77777777" w:rsidR="00F16573" w:rsidRDefault="00533D2C">
      <w:pPr>
        <w:pStyle w:val="Akapitzlist"/>
        <w:numPr>
          <w:ilvl w:val="0"/>
          <w:numId w:val="1"/>
        </w:numPr>
        <w:rPr>
          <w:b/>
          <w:lang w:val="en-GB"/>
        </w:rPr>
      </w:pPr>
      <w:r>
        <w:rPr>
          <w:b/>
          <w:lang w:val="en-GB"/>
        </w:rPr>
        <w:t>Literature</w:t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F16573" w14:paraId="698A73D4" w14:textId="77777777">
        <w:tc>
          <w:tcPr>
            <w:tcW w:w="9212" w:type="dxa"/>
            <w:shd w:val="clear" w:color="auto" w:fill="auto"/>
          </w:tcPr>
          <w:p w14:paraId="0C09A84E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Basic literature</w:t>
            </w:r>
          </w:p>
        </w:tc>
      </w:tr>
      <w:tr w:rsidR="00F16573" w:rsidRPr="005F6D77" w14:paraId="7CBA057C" w14:textId="77777777">
        <w:tc>
          <w:tcPr>
            <w:tcW w:w="9212" w:type="dxa"/>
            <w:shd w:val="clear" w:color="auto" w:fill="auto"/>
          </w:tcPr>
          <w:p w14:paraId="2305D367" w14:textId="77777777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1. Ken Follett, Eye of the Needle (Penguin Group, 1978)  </w:t>
            </w:r>
          </w:p>
          <w:p w14:paraId="318BCB9E" w14:textId="3A544E8D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2. Jeffrey Archer, Paths of Glory (St. Martin's Press, 2009)   </w:t>
            </w:r>
          </w:p>
          <w:p w14:paraId="5B0F44E3" w14:textId="77777777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3. Patrick Suskind, Perfume: The Story of a Murderer (Hamish Hamilton, 1985)   </w:t>
            </w:r>
          </w:p>
          <w:p w14:paraId="73D2A628" w14:textId="531EFCBE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4. Erich Segal, </w:t>
            </w:r>
            <w:r>
              <w:rPr>
                <w:lang w:val="en-GB"/>
              </w:rPr>
              <w:t>Love Story</w:t>
            </w:r>
            <w:r w:rsidRPr="000F2CB7">
              <w:rPr>
                <w:lang w:val="en-GB"/>
              </w:rPr>
              <w:t xml:space="preserve"> (Bantam Books, 1988)  </w:t>
            </w:r>
          </w:p>
          <w:p w14:paraId="733D49BC" w14:textId="77777777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5. Stephen King (Bachman), The Long Walk (Signet Books, 1979)    </w:t>
            </w:r>
          </w:p>
          <w:p w14:paraId="11429F38" w14:textId="77777777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6. Frederick Forsyth, The Day of the Jackal (Viking Press, 1971)   </w:t>
            </w:r>
          </w:p>
          <w:p w14:paraId="43E2ECCD" w14:textId="77777777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7. Gabriel G. Marquez, Love in the Time of Cholera (Alfred A. Knopf, 1988)   </w:t>
            </w:r>
          </w:p>
          <w:p w14:paraId="73A35CEB" w14:textId="766522FD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8. Mario Puzo, The Godfather (G. P. Putman's Sons, 1969)  </w:t>
            </w:r>
          </w:p>
          <w:p w14:paraId="5D30AB84" w14:textId="77777777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9. Pat Conroy, Beach Music (Doubleday, 1995)   </w:t>
            </w:r>
          </w:p>
          <w:p w14:paraId="429971E8" w14:textId="77777777" w:rsid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10. Raymond Chandler, Farewell, My Lovely (Alfred A. Knopf, 1940) </w:t>
            </w:r>
          </w:p>
          <w:p w14:paraId="7CA03A92" w14:textId="1D3B172C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11. Nnedi Okorafor, Akata Witch (Penguin, 2011)</w:t>
            </w:r>
            <w:r w:rsidRPr="000F2CB7">
              <w:rPr>
                <w:lang w:val="en-GB"/>
              </w:rPr>
              <w:t xml:space="preserve"> </w:t>
            </w:r>
          </w:p>
          <w:p w14:paraId="29F3E4DB" w14:textId="556BF118" w:rsidR="000F2CB7" w:rsidRPr="000F2CB7" w:rsidRDefault="000F2CB7" w:rsidP="000F2CB7">
            <w:pPr>
              <w:spacing w:after="0" w:line="240" w:lineRule="auto"/>
              <w:rPr>
                <w:lang w:val="en-GB"/>
              </w:rPr>
            </w:pPr>
            <w:r w:rsidRPr="000F2CB7">
              <w:rPr>
                <w:lang w:val="en-GB"/>
              </w:rPr>
              <w:t xml:space="preserve">12. Harlan Coben, Promise Me (Orion, 2001)  </w:t>
            </w:r>
          </w:p>
          <w:p w14:paraId="7F8A6E65" w14:textId="04F59AD7" w:rsidR="00F16573" w:rsidRDefault="000F2CB7" w:rsidP="000F2CB7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</w:tr>
      <w:tr w:rsidR="00F16573" w14:paraId="22F10812" w14:textId="77777777">
        <w:tc>
          <w:tcPr>
            <w:tcW w:w="9212" w:type="dxa"/>
            <w:shd w:val="clear" w:color="auto" w:fill="auto"/>
          </w:tcPr>
          <w:p w14:paraId="07715C5D" w14:textId="77777777" w:rsidR="00F16573" w:rsidRDefault="00533D2C">
            <w:pPr>
              <w:spacing w:after="0" w:line="240" w:lineRule="auto"/>
              <w:rPr>
                <w:lang w:val="en-GB"/>
              </w:rPr>
            </w:pPr>
            <w:r>
              <w:rPr>
                <w:lang w:val="en-GB"/>
              </w:rPr>
              <w:t>Additional literature</w:t>
            </w:r>
          </w:p>
        </w:tc>
      </w:tr>
      <w:tr w:rsidR="00F16573" w14:paraId="14F349FB" w14:textId="77777777">
        <w:tc>
          <w:tcPr>
            <w:tcW w:w="9212" w:type="dxa"/>
            <w:shd w:val="clear" w:color="auto" w:fill="auto"/>
          </w:tcPr>
          <w:p w14:paraId="13CF5B6E" w14:textId="2ED4DD6B" w:rsidR="00F16573" w:rsidRDefault="00F16573">
            <w:pPr>
              <w:spacing w:after="0" w:line="240" w:lineRule="auto"/>
              <w:rPr>
                <w:b/>
                <w:lang w:val="en-GB"/>
              </w:rPr>
            </w:pPr>
          </w:p>
        </w:tc>
      </w:tr>
    </w:tbl>
    <w:p w14:paraId="5469CC71" w14:textId="77777777" w:rsidR="00F16573" w:rsidRDefault="00F16573">
      <w:pPr>
        <w:spacing w:after="0"/>
        <w:rPr>
          <w:b/>
          <w:lang w:val="en-GB"/>
        </w:rPr>
      </w:pPr>
    </w:p>
    <w:p w14:paraId="79D4F5F8" w14:textId="77777777" w:rsidR="00F16573" w:rsidRDefault="00F16573"/>
    <w:sectPr w:rsidR="00F16573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1E4" w14:textId="77777777" w:rsidR="00D22261" w:rsidRDefault="00D22261">
      <w:pPr>
        <w:spacing w:after="0" w:line="240" w:lineRule="auto"/>
      </w:pPr>
      <w:r>
        <w:separator/>
      </w:r>
    </w:p>
  </w:endnote>
  <w:endnote w:type="continuationSeparator" w:id="0">
    <w:p w14:paraId="3125DCE9" w14:textId="77777777" w:rsidR="00D22261" w:rsidRDefault="00D22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BC2C3" w14:textId="77777777" w:rsidR="00D22261" w:rsidRDefault="00D22261">
      <w:pPr>
        <w:spacing w:after="0" w:line="240" w:lineRule="auto"/>
      </w:pPr>
      <w:r>
        <w:separator/>
      </w:r>
    </w:p>
  </w:footnote>
  <w:footnote w:type="continuationSeparator" w:id="0">
    <w:p w14:paraId="67727C7C" w14:textId="77777777" w:rsidR="00D22261" w:rsidRDefault="00D22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FEAD" w14:textId="77777777" w:rsidR="00F16573" w:rsidRDefault="00533D2C">
    <w:pPr>
      <w:spacing w:after="0" w:line="240" w:lineRule="auto"/>
      <w:jc w:val="right"/>
      <w:rPr>
        <w:i/>
        <w:lang w:val="en-GB"/>
      </w:rPr>
    </w:pPr>
    <w:r>
      <w:rPr>
        <w:rFonts w:eastAsia="Times New Roman" w:cs="Calibri"/>
        <w:i/>
        <w:iCs/>
        <w:color w:val="000000"/>
        <w:lang w:val="en-GB" w:eastAsia="en-GB"/>
      </w:rPr>
      <w:t>annex 5 to programme documentation</w:t>
    </w:r>
  </w:p>
  <w:p w14:paraId="39C20D83" w14:textId="77777777" w:rsidR="00F16573" w:rsidRDefault="00F16573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24F2"/>
    <w:multiLevelType w:val="hybridMultilevel"/>
    <w:tmpl w:val="CE5AD496"/>
    <w:lvl w:ilvl="0" w:tplc="75D01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32B4A"/>
    <w:multiLevelType w:val="multilevel"/>
    <w:tmpl w:val="06E00C1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11FFC"/>
    <w:multiLevelType w:val="multilevel"/>
    <w:tmpl w:val="6BB8C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976056497">
    <w:abstractNumId w:val="1"/>
  </w:num>
  <w:num w:numId="2" w16cid:durableId="512259233">
    <w:abstractNumId w:val="2"/>
  </w:num>
  <w:num w:numId="3" w16cid:durableId="955023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6573"/>
    <w:rsid w:val="00090A73"/>
    <w:rsid w:val="000A2491"/>
    <w:rsid w:val="000F2CB7"/>
    <w:rsid w:val="00533D2C"/>
    <w:rsid w:val="005F6D77"/>
    <w:rsid w:val="00960B97"/>
    <w:rsid w:val="009A119A"/>
    <w:rsid w:val="00BB2C3D"/>
    <w:rsid w:val="00D22261"/>
    <w:rsid w:val="00D71216"/>
    <w:rsid w:val="00E77557"/>
    <w:rsid w:val="00F16573"/>
    <w:rsid w:val="00F235F5"/>
    <w:rsid w:val="00F9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BB73"/>
  <w15:docId w15:val="{B99C2A69-F273-4499-99E4-A3F4A262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2D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sz w:val="20"/>
    </w:rPr>
  </w:style>
  <w:style w:type="character" w:customStyle="1" w:styleId="ListLabel52">
    <w:name w:val="ListLabel 52"/>
    <w:qFormat/>
    <w:rPr>
      <w:sz w:val="20"/>
    </w:rPr>
  </w:style>
  <w:style w:type="character" w:customStyle="1" w:styleId="ListLabel53">
    <w:name w:val="ListLabel 53"/>
    <w:qFormat/>
    <w:rPr>
      <w:sz w:val="20"/>
    </w:rPr>
  </w:style>
  <w:style w:type="character" w:customStyle="1" w:styleId="ListLabel54">
    <w:name w:val="ListLabel 54"/>
    <w:qFormat/>
    <w:rPr>
      <w:sz w:val="2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AEAE6-F862-41CE-B12C-F79A167F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857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Joanna Szegda</cp:lastModifiedBy>
  <cp:revision>6</cp:revision>
  <cp:lastPrinted>2019-01-23T11:10:00Z</cp:lastPrinted>
  <dcterms:created xsi:type="dcterms:W3CDTF">2020-10-07T09:11:00Z</dcterms:created>
  <dcterms:modified xsi:type="dcterms:W3CDTF">2023-03-01T07:36:00Z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