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7" w:rsidRPr="009F64A6" w:rsidRDefault="00B22627">
      <w:pPr>
        <w:rPr>
          <w:rFonts w:ascii="Times New Roman" w:hAnsi="Times New Roman"/>
          <w:b/>
        </w:rPr>
      </w:pPr>
      <w:r w:rsidRPr="001F33AA">
        <w:rPr>
          <w:rFonts w:ascii="Times New Roman" w:hAnsi="Times New Roman"/>
          <w:b/>
        </w:rPr>
        <w:t xml:space="preserve">KARTA PRZEDMIOTU </w:t>
      </w:r>
    </w:p>
    <w:p w:rsidR="00E108E7" w:rsidRPr="009F64A6" w:rsidRDefault="00E108E7">
      <w:pPr>
        <w:rPr>
          <w:rFonts w:ascii="Times New Roman" w:hAnsi="Times New Roman"/>
          <w:b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Dane podstawowe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 w:rsidP="00CA0953">
            <w:pPr>
              <w:pStyle w:val="Nagwek2"/>
              <w:shd w:val="clear" w:color="auto" w:fill="FFFFFF"/>
              <w:spacing w:beforeAutospacing="0"/>
              <w:rPr>
                <w:b w:val="0"/>
                <w:bCs w:val="0"/>
                <w:color w:val="151B1E"/>
                <w:sz w:val="22"/>
                <w:szCs w:val="22"/>
              </w:rPr>
            </w:pPr>
            <w:r w:rsidRPr="009F64A6">
              <w:rPr>
                <w:b w:val="0"/>
                <w:bCs w:val="0"/>
                <w:color w:val="151B1E"/>
                <w:sz w:val="22"/>
                <w:szCs w:val="22"/>
              </w:rPr>
              <w:t>Nauki o komunikowaniu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09D" w:rsidRPr="009F64A6" w:rsidRDefault="0060209D" w:rsidP="00602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95"/>
            </w:tblGrid>
            <w:tr w:rsidR="0060209D" w:rsidRPr="009F64A6">
              <w:trPr>
                <w:trHeight w:val="109"/>
              </w:trPr>
              <w:tc>
                <w:tcPr>
                  <w:tcW w:w="0" w:type="auto"/>
                </w:tcPr>
                <w:p w:rsidR="0060209D" w:rsidRPr="009F64A6" w:rsidRDefault="00E37C29" w:rsidP="006020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9F64A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>Communication</w:t>
                  </w:r>
                  <w:proofErr w:type="spellEnd"/>
                  <w:r w:rsidRPr="009F64A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 xml:space="preserve"> </w:t>
                  </w:r>
                  <w:proofErr w:type="spellStart"/>
                  <w:r w:rsidRPr="009F64A6"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pl-PL"/>
                    </w:rPr>
                    <w:t>studies</w:t>
                  </w:r>
                  <w:proofErr w:type="spellEnd"/>
                </w:p>
              </w:tc>
            </w:tr>
          </w:tbl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CA0953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Dziennikarstwo i komunikacja społeczna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CA0953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I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</w:t>
            </w:r>
            <w:r w:rsidR="00B22627" w:rsidRPr="009F64A6">
              <w:rPr>
                <w:rFonts w:ascii="Times New Roman" w:hAnsi="Times New Roman"/>
              </w:rPr>
              <w:t>tacjonarne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07A9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Nauki o komunikacji społecznej i media</w:t>
            </w:r>
            <w:r w:rsidR="005B610D" w:rsidRPr="009F64A6">
              <w:rPr>
                <w:rFonts w:ascii="Times New Roman" w:hAnsi="Times New Roman"/>
              </w:rPr>
              <w:t>ch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</w:t>
            </w:r>
            <w:r w:rsidR="00CA0953" w:rsidRPr="009F64A6">
              <w:rPr>
                <w:rFonts w:ascii="Times New Roman" w:hAnsi="Times New Roman"/>
              </w:rPr>
              <w:t>olski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 w:rsidP="00CA0953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 </w:t>
            </w:r>
            <w:r w:rsidR="00CA0953" w:rsidRPr="009F64A6">
              <w:rPr>
                <w:rFonts w:ascii="Times New Roman" w:hAnsi="Times New Roman"/>
              </w:rPr>
              <w:t xml:space="preserve">Łukasz </w:t>
            </w:r>
            <w:proofErr w:type="spellStart"/>
            <w:r w:rsidR="00CA0953" w:rsidRPr="009F64A6">
              <w:rPr>
                <w:rFonts w:ascii="Times New Roman" w:hAnsi="Times New Roman"/>
              </w:rPr>
              <w:t>Sarowski</w:t>
            </w:r>
            <w:proofErr w:type="spellEnd"/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2"/>
      </w:tblGrid>
      <w:tr w:rsidR="00E108E7" w:rsidRPr="009F64A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Forma zajęć </w:t>
            </w:r>
            <w:r w:rsidRPr="009F64A6">
              <w:rPr>
                <w:rFonts w:ascii="Times New Roman" w:hAnsi="Times New Roman"/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Punkty ECTS</w:t>
            </w:r>
          </w:p>
        </w:tc>
      </w:tr>
      <w:tr w:rsidR="00E108E7" w:rsidRPr="009F64A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60209D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Wykład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II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4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6978"/>
      </w:tblGrid>
      <w:tr w:rsidR="00E108E7" w:rsidRPr="009F64A6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brak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 xml:space="preserve">Cele kształcenia dla przedmiotu 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E37C29" w:rsidP="005415DD">
            <w:pPr>
              <w:snapToGrid w:val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C1: zapoznanie studentów z teoriami z obszaru nauk o komunikacji społecznej i mediach </w:t>
            </w:r>
          </w:p>
          <w:p w:rsidR="00E108E7" w:rsidRPr="009F64A6" w:rsidRDefault="00E37C29" w:rsidP="005415DD">
            <w:pPr>
              <w:snapToGrid w:val="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9F64A6">
              <w:rPr>
                <w:rFonts w:ascii="Times New Roman" w:hAnsi="Times New Roman"/>
              </w:rPr>
              <w:t>C2: uświadomienie studentom roli kompetencji komunikacyjnej w aktach komunikacji oraz znaczenia komunikacji w społeczeństwie</w:t>
            </w:r>
          </w:p>
        </w:tc>
      </w:tr>
    </w:tbl>
    <w:p w:rsidR="00A657E2" w:rsidRPr="009F64A6" w:rsidRDefault="00A657E2" w:rsidP="00A657E2">
      <w:pPr>
        <w:rPr>
          <w:rFonts w:ascii="Times New Roman" w:hAnsi="Times New Roman"/>
        </w:rPr>
      </w:pPr>
    </w:p>
    <w:p w:rsidR="00E108E7" w:rsidRPr="009F64A6" w:rsidRDefault="00B22627" w:rsidP="00A657E2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9F64A6">
        <w:rPr>
          <w:rFonts w:ascii="Times New Roman" w:hAnsi="Times New Roman"/>
          <w:b/>
        </w:rPr>
        <w:t>Efekty uczenia się dla przedmiotu wraz z odniesieniem do efektów kierunkowych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5953"/>
        <w:gridCol w:w="2158"/>
      </w:tblGrid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Opis efektu przedmiotowego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Odniesienie do efektu kierunkowego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WIEDZA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K_W01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 w:rsidP="0060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4A6">
              <w:rPr>
                <w:rFonts w:ascii="Times New Roman" w:hAnsi="Times New Roman"/>
              </w:rPr>
              <w:t>Student zna w zaawansowanym stopniu specjalistyczną terminologię z zakresu nauk o mediach i komunikacji społecznej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P6U_W1</w:t>
            </w:r>
          </w:p>
        </w:tc>
      </w:tr>
      <w:tr w:rsidR="00E37C29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K_W02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E37C29" w:rsidP="0060209D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Student zna podstawowe nurty badawcze w dziedzinie nauki o mediach i komunikacji społecznej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P6U_W1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UMIEJĘTNOŚCI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K_U04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 w:rsidP="006020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64A6">
              <w:rPr>
                <w:rFonts w:ascii="Times New Roman" w:hAnsi="Times New Roman"/>
              </w:rPr>
              <w:t>Student umie wykorzystywać posiadaną wiedzę teoretyczną do opisu i analizy wybranych zjawisk i procesów komunikowania społecznego,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P6U_U1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KOMPETENCJE SPOŁECZNE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K_K01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C07168" w:rsidP="00D87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Student potrafi dokonać k</w:t>
            </w:r>
            <w:r w:rsidR="00E37C29" w:rsidRPr="009F64A6">
              <w:rPr>
                <w:rFonts w:ascii="Times New Roman" w:hAnsi="Times New Roman"/>
              </w:rPr>
              <w:t>rytycznej oceny posiadanej wiedzy i odbieranych treści, formułowania i uzasadniania własnych ocen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A9" w:rsidRPr="009F64A6" w:rsidRDefault="00E37C29">
            <w:pPr>
              <w:spacing w:after="0" w:line="240" w:lineRule="auto"/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</w:pPr>
            <w:r w:rsidRPr="009F64A6">
              <w:rPr>
                <w:rFonts w:ascii="Times New Roman" w:hAnsi="Times New Roman"/>
              </w:rPr>
              <w:t>P6U_K2</w:t>
            </w:r>
          </w:p>
        </w:tc>
      </w:tr>
    </w:tbl>
    <w:p w:rsidR="00E108E7" w:rsidRPr="009F64A6" w:rsidRDefault="00E108E7">
      <w:pPr>
        <w:pStyle w:val="Akapitzlist"/>
        <w:ind w:left="1080"/>
        <w:rPr>
          <w:rFonts w:ascii="Times New Roman" w:hAnsi="Times New Roman"/>
          <w:b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Opis przedmiotu/ treści programowe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C6C" w:rsidRPr="009F64A6" w:rsidRDefault="006D1B7B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b/>
                <w:lang w:val="en-US"/>
              </w:rPr>
              <w:t>1.</w:t>
            </w:r>
            <w:r w:rsidR="00BC45DF" w:rsidRPr="009F64A6">
              <w:rPr>
                <w:rFonts w:ascii="Times New Roman" w:hAnsi="Times New Roman"/>
              </w:rPr>
              <w:t xml:space="preserve">Wprowadzenie (sylabus przedmiotu, program </w:t>
            </w:r>
            <w:r w:rsidR="00E23540" w:rsidRPr="009F64A6">
              <w:rPr>
                <w:rFonts w:ascii="Times New Roman" w:hAnsi="Times New Roman"/>
              </w:rPr>
              <w:t>wykładu</w:t>
            </w:r>
            <w:r w:rsidR="00BC45DF" w:rsidRPr="009F64A6">
              <w:rPr>
                <w:rFonts w:ascii="Times New Roman" w:hAnsi="Times New Roman"/>
              </w:rPr>
              <w:t>, kryteria uzyskania zaliczenia przedmiotu);</w:t>
            </w:r>
          </w:p>
          <w:p w:rsidR="006D1B7B" w:rsidRPr="009F64A6" w:rsidRDefault="006D1B7B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lastRenderedPageBreak/>
              <w:t>2. Komunikacja i komunikowanie – zagadnienia wstępne</w:t>
            </w:r>
          </w:p>
          <w:p w:rsidR="006D1B7B" w:rsidRPr="009F64A6" w:rsidRDefault="006D1B7B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3. Definicje, cechy i elementy komunikowania</w:t>
            </w:r>
          </w:p>
          <w:p w:rsidR="009D3EB4" w:rsidRPr="009F64A6" w:rsidRDefault="006D1B7B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4. Sposoby i formy porozumiewania się ludzi</w:t>
            </w:r>
          </w:p>
          <w:p w:rsidR="009D3EB4" w:rsidRDefault="00B4409B" w:rsidP="006D1B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41742">
              <w:rPr>
                <w:rFonts w:ascii="Times New Roman" w:hAnsi="Times New Roman"/>
              </w:rPr>
              <w:t>. Model</w:t>
            </w:r>
            <w:r w:rsidR="009D3EB4" w:rsidRPr="009F64A6">
              <w:rPr>
                <w:rFonts w:ascii="Times New Roman" w:hAnsi="Times New Roman"/>
              </w:rPr>
              <w:t xml:space="preserve"> kompetencji komunikacyjnej</w:t>
            </w:r>
          </w:p>
          <w:p w:rsidR="00B4409B" w:rsidRPr="009F64A6" w:rsidRDefault="00B4409B" w:rsidP="006D1B7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9F64A6">
              <w:rPr>
                <w:rFonts w:ascii="Times New Roman" w:hAnsi="Times New Roman"/>
              </w:rPr>
              <w:t>Modele komunikacyjne</w:t>
            </w:r>
          </w:p>
          <w:p w:rsidR="00441742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7. Spostrzeganie</w:t>
            </w:r>
            <w:r w:rsidR="00441742">
              <w:rPr>
                <w:rFonts w:ascii="Times New Roman" w:hAnsi="Times New Roman"/>
              </w:rPr>
              <w:t xml:space="preserve"> i język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8</w:t>
            </w:r>
            <w:r w:rsidR="006D1B7B" w:rsidRPr="009F64A6">
              <w:rPr>
                <w:rFonts w:ascii="Times New Roman" w:hAnsi="Times New Roman"/>
              </w:rPr>
              <w:t>. Informacja i perswazja w komunikacji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9</w:t>
            </w:r>
            <w:r w:rsidR="006D1B7B" w:rsidRPr="009F64A6">
              <w:rPr>
                <w:rFonts w:ascii="Times New Roman" w:hAnsi="Times New Roman"/>
              </w:rPr>
              <w:t>. Teorie komunikacji – podstawowe paradygmaty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10</w:t>
            </w:r>
            <w:r w:rsidR="006D1B7B" w:rsidRPr="009F64A6">
              <w:rPr>
                <w:rFonts w:ascii="Times New Roman" w:hAnsi="Times New Roman"/>
              </w:rPr>
              <w:t xml:space="preserve">. </w:t>
            </w:r>
            <w:r w:rsidR="003C5AC2">
              <w:rPr>
                <w:rFonts w:ascii="Times New Roman" w:hAnsi="Times New Roman"/>
              </w:rPr>
              <w:t>Wybrane t</w:t>
            </w:r>
            <w:r w:rsidR="006D1B7B" w:rsidRPr="009F64A6">
              <w:rPr>
                <w:rFonts w:ascii="Times New Roman" w:hAnsi="Times New Roman"/>
              </w:rPr>
              <w:t>eorie komunikacji interpersonalnej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11</w:t>
            </w:r>
            <w:r w:rsidR="003C5AC2">
              <w:rPr>
                <w:rFonts w:ascii="Times New Roman" w:hAnsi="Times New Roman"/>
              </w:rPr>
              <w:t>. Wybrane t</w:t>
            </w:r>
            <w:r w:rsidR="006D1B7B" w:rsidRPr="009F64A6">
              <w:rPr>
                <w:rFonts w:ascii="Times New Roman" w:hAnsi="Times New Roman"/>
              </w:rPr>
              <w:t>eorie komunikacji grupowej i publicznej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12</w:t>
            </w:r>
            <w:r w:rsidR="003C5AC2">
              <w:rPr>
                <w:rFonts w:ascii="Times New Roman" w:hAnsi="Times New Roman"/>
              </w:rPr>
              <w:t>. Wybrane t</w:t>
            </w:r>
            <w:r w:rsidR="006D1B7B" w:rsidRPr="009F64A6">
              <w:rPr>
                <w:rFonts w:ascii="Times New Roman" w:hAnsi="Times New Roman"/>
              </w:rPr>
              <w:t>eorie komunikacji masowej</w:t>
            </w:r>
          </w:p>
          <w:p w:rsidR="006D1B7B" w:rsidRPr="009F64A6" w:rsidRDefault="009D3EB4" w:rsidP="006D1B7B">
            <w:pPr>
              <w:spacing w:after="0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13</w:t>
            </w:r>
            <w:r w:rsidR="006D1B7B" w:rsidRPr="009F64A6">
              <w:rPr>
                <w:rFonts w:ascii="Times New Roman" w:hAnsi="Times New Roman"/>
              </w:rPr>
              <w:t>. Nowe perspektywy dla nauk o komunikowaniu</w:t>
            </w:r>
          </w:p>
          <w:p w:rsidR="0060209D" w:rsidRPr="009F64A6" w:rsidRDefault="0060209D" w:rsidP="0060209D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  <w:p w:rsidR="002B442D" w:rsidRPr="009F64A6" w:rsidRDefault="002B442D" w:rsidP="003E3D7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3E3D7F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D7F" w:rsidRPr="009F64A6" w:rsidRDefault="003E3D7F" w:rsidP="00BC45DF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</w:tbl>
    <w:p w:rsidR="00E108E7" w:rsidRPr="009F64A6" w:rsidRDefault="00E108E7">
      <w:pPr>
        <w:rPr>
          <w:rFonts w:ascii="Times New Roman" w:hAnsi="Times New Roman"/>
          <w:b/>
          <w:lang w:val="en-US"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Metody realizacji i weryfikacji efektów uczenia się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835"/>
        <w:gridCol w:w="2583"/>
      </w:tblGrid>
      <w:tr w:rsidR="00E108E7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Metody dydaktyczne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Metody weryfikacji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Sposoby dokumentacji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</w:tr>
      <w:tr w:rsidR="00E108E7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WIEDZA</w:t>
            </w:r>
          </w:p>
        </w:tc>
      </w:tr>
      <w:tr w:rsidR="00E108E7" w:rsidRPr="009F64A6" w:rsidTr="009D3EB4">
        <w:trPr>
          <w:trHeight w:val="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9D3EB4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</w:t>
            </w:r>
            <w:r w:rsidR="00B22627" w:rsidRPr="009F64A6">
              <w:rPr>
                <w:rFonts w:ascii="Times New Roman" w:hAnsi="Times New Roman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9D3EB4" w:rsidP="009D3EB4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Wykład klasyczny (prezentacja multimedialna, infografika, materiały audiowizualne), wykład z elementami konwersatorium, 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567E77" w:rsidP="00BE6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9F64A6" w:rsidRPr="009F64A6">
              <w:rPr>
                <w:rFonts w:ascii="Times New Roman" w:hAnsi="Times New Roman"/>
              </w:rPr>
              <w:t>gzamin pisemny</w:t>
            </w:r>
            <w:r>
              <w:rPr>
                <w:rFonts w:ascii="Times New Roman" w:hAnsi="Times New Roman"/>
              </w:rPr>
              <w:t xml:space="preserve"> + dyskusja</w:t>
            </w:r>
            <w:r w:rsidR="00BE6E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9D3EB4" w:rsidP="007A7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</w:t>
            </w:r>
            <w:r w:rsidR="00CB2F1E" w:rsidRPr="009F64A6">
              <w:rPr>
                <w:rFonts w:ascii="Times New Roman" w:hAnsi="Times New Roman"/>
              </w:rPr>
              <w:t>rotokół</w:t>
            </w:r>
            <w:r w:rsidRPr="009F64A6">
              <w:rPr>
                <w:rFonts w:ascii="Times New Roman" w:hAnsi="Times New Roman"/>
              </w:rPr>
              <w:t xml:space="preserve"> egzaminacyjny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 w:rsidP="0060209D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Wykład klasyczny (prezentacja multimedialna, infografika, materiały audiowizualne), wykład z elementami konwersatorium, 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567E77" w:rsidP="00BE6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9F64A6">
              <w:rPr>
                <w:rFonts w:ascii="Times New Roman" w:hAnsi="Times New Roman"/>
              </w:rPr>
              <w:t>gzamin pisemny</w:t>
            </w:r>
            <w:r>
              <w:rPr>
                <w:rFonts w:ascii="Times New Roman" w:hAnsi="Times New Roman"/>
              </w:rPr>
              <w:t xml:space="preserve"> + dyskusja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Protokół egzaminacyjny</w:t>
            </w:r>
          </w:p>
        </w:tc>
      </w:tr>
      <w:tr w:rsidR="009F64A6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A6" w:rsidRPr="009F64A6" w:rsidRDefault="009F6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UMIEJĘTNOŚCI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K_U04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 w:rsidP="009F64A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Wykład klasyczny (prezentacja multimedialna, infografika, materiały audiowizualne), wykład z elementami konwersatorium, 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567E77" w:rsidP="00BE6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9F64A6">
              <w:rPr>
                <w:rFonts w:ascii="Times New Roman" w:hAnsi="Times New Roman"/>
              </w:rPr>
              <w:t>gzamin pisemny</w:t>
            </w:r>
            <w:r>
              <w:rPr>
                <w:rFonts w:ascii="Times New Roman" w:hAnsi="Times New Roman"/>
              </w:rPr>
              <w:t xml:space="preserve"> + dyskusja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Protokół egzaminacyjny</w:t>
            </w:r>
          </w:p>
        </w:tc>
      </w:tr>
      <w:tr w:rsidR="009F64A6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A6" w:rsidRPr="009F64A6" w:rsidRDefault="009F6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KOMPETENCJE SPOŁECZNE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K_K01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Wykład klasyczny (prezentacja multimedialna, infografika, materiały audiowizualne), wykład z elementami konwersatorium, 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567E77" w:rsidP="00BE6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9F64A6">
              <w:rPr>
                <w:rFonts w:ascii="Times New Roman" w:hAnsi="Times New Roman"/>
              </w:rPr>
              <w:t>gzamin pisemny</w:t>
            </w:r>
            <w:r>
              <w:rPr>
                <w:rFonts w:ascii="Times New Roman" w:hAnsi="Times New Roman"/>
              </w:rPr>
              <w:t xml:space="preserve"> + dyskusja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9F64A6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Protokół egzaminacyjny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E108E7">
      <w:pPr>
        <w:pStyle w:val="Akapitzlist"/>
        <w:ind w:left="1080"/>
        <w:rPr>
          <w:rFonts w:ascii="Times New Roman" w:hAnsi="Times New Roman"/>
          <w:b/>
        </w:rPr>
      </w:pPr>
    </w:p>
    <w:p w:rsidR="00A75147" w:rsidRPr="00827CD2" w:rsidRDefault="00B22627" w:rsidP="00827CD2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Kryteria oceny, wagi…</w:t>
      </w:r>
      <w:bookmarkStart w:id="0" w:name="_GoBack"/>
      <w:bookmarkEnd w:id="0"/>
    </w:p>
    <w:p w:rsidR="00A75147" w:rsidRDefault="00A75147" w:rsidP="00A751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Ocena niedostateczna: </w:t>
      </w:r>
    </w:p>
    <w:p w:rsidR="00A75147" w:rsidRDefault="00A75147" w:rsidP="00A751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nie zna podstawowych informacji odnoszących się do zagadnień prezentowanych na zajęciach. </w:t>
      </w:r>
    </w:p>
    <w:p w:rsidR="00A75147" w:rsidRDefault="00A75147" w:rsidP="00A751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dostateczna:</w:t>
      </w:r>
    </w:p>
    <w:p w:rsidR="00A75147" w:rsidRDefault="00A75147" w:rsidP="00A751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 posiada wybiórczą, podstawową wiedzę na temat nauk o komunikowaniu. Uzyskał wynik z egzaminu na poziome 50-70%;</w:t>
      </w:r>
    </w:p>
    <w:p w:rsidR="00A75147" w:rsidRDefault="00A75147" w:rsidP="00A751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dobra:</w:t>
      </w:r>
    </w:p>
    <w:p w:rsidR="00A75147" w:rsidRDefault="00A75147" w:rsidP="00A751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 zna większość zaprezentowanych podczas zajęć treści. Uzyskał wynik z egzaminu na poziome 71-94%;</w:t>
      </w:r>
    </w:p>
    <w:p w:rsidR="00A75147" w:rsidRDefault="00A75147" w:rsidP="00A7514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bardzo dobra:</w:t>
      </w:r>
    </w:p>
    <w:p w:rsidR="00A75147" w:rsidRDefault="00A75147" w:rsidP="00A7514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 zna wszystkie zaprezentowane podczas zajęć treści programowe. Uzyskał wynik z egzaminu na poziomie 95-100%.</w:t>
      </w:r>
    </w:p>
    <w:p w:rsidR="00A75147" w:rsidRPr="009F64A6" w:rsidRDefault="00A75147" w:rsidP="009F64A6">
      <w:pPr>
        <w:pStyle w:val="Akapitzlist"/>
        <w:ind w:left="1080"/>
        <w:rPr>
          <w:rFonts w:ascii="Times New Roman" w:hAnsi="Times New Roman"/>
        </w:rPr>
      </w:pPr>
    </w:p>
    <w:p w:rsidR="005146AD" w:rsidRPr="009F64A6" w:rsidRDefault="005146AD" w:rsidP="009F64A6">
      <w:pPr>
        <w:pStyle w:val="Akapitzlist"/>
        <w:ind w:left="1080"/>
        <w:rPr>
          <w:rFonts w:ascii="Times New Roman" w:hAnsi="Times New Roman"/>
          <w:b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Obciążenie pracą studenta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Liczba godzin kontaktowych z nauczycielem </w:t>
            </w:r>
          </w:p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AE34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4A6">
              <w:rPr>
                <w:rFonts w:ascii="Times New Roman" w:hAnsi="Times New Roman"/>
                <w:b/>
              </w:rPr>
              <w:t>30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 indywidualnej pracy studenta</w:t>
            </w:r>
          </w:p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9E52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  <w:b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Literatura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4A6">
              <w:rPr>
                <w:rFonts w:ascii="Times New Roman" w:hAnsi="Times New Roman"/>
                <w:b/>
              </w:rPr>
              <w:t>Literatura podstawowa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264" w:rsidRPr="009F64A6" w:rsidRDefault="009F64A6" w:rsidP="009F64A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F64A6">
              <w:rPr>
                <w:rFonts w:ascii="Times New Roman" w:hAnsi="Times New Roman" w:cs="Times New Roman"/>
              </w:rPr>
              <w:t xml:space="preserve">E. Griffin, Podstawy komunikacji społecznej, GWP, Sopot 2003 S. P. </w:t>
            </w:r>
            <w:proofErr w:type="spellStart"/>
            <w:r w:rsidRPr="009F64A6">
              <w:rPr>
                <w:rFonts w:ascii="Times New Roman" w:hAnsi="Times New Roman" w:cs="Times New Roman"/>
              </w:rPr>
              <w:t>Morreale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B. H. </w:t>
            </w:r>
            <w:proofErr w:type="spellStart"/>
            <w:r w:rsidRPr="009F64A6">
              <w:rPr>
                <w:rFonts w:ascii="Times New Roman" w:hAnsi="Times New Roman" w:cs="Times New Roman"/>
              </w:rPr>
              <w:t>Spitzberg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J. K. </w:t>
            </w:r>
            <w:proofErr w:type="spellStart"/>
            <w:r w:rsidRPr="009F64A6">
              <w:rPr>
                <w:rFonts w:ascii="Times New Roman" w:hAnsi="Times New Roman" w:cs="Times New Roman"/>
              </w:rPr>
              <w:t>Barge</w:t>
            </w:r>
            <w:proofErr w:type="spellEnd"/>
            <w:r w:rsidRPr="009F64A6">
              <w:rPr>
                <w:rFonts w:ascii="Times New Roman" w:hAnsi="Times New Roman" w:cs="Times New Roman"/>
              </w:rPr>
              <w:t>, Komunikacja między ludźmi. Motywacja, wiedza i umiejętności, PWN, Warszawa 2007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Literatura uzupełniająca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9F64A6" w:rsidP="009F64A6">
            <w:pPr>
              <w:pStyle w:val="Default"/>
              <w:rPr>
                <w:rFonts w:ascii="Times New Roman" w:hAnsi="Times New Roman" w:cs="Times New Roman"/>
              </w:rPr>
            </w:pPr>
            <w:r w:rsidRPr="009F64A6">
              <w:rPr>
                <w:rFonts w:ascii="Times New Roman" w:hAnsi="Times New Roman" w:cs="Times New Roman"/>
              </w:rPr>
              <w:t xml:space="preserve">B. Dobek-Ostrowska, Podstawy komunikowania społecznego, </w:t>
            </w:r>
            <w:proofErr w:type="spellStart"/>
            <w:r w:rsidRPr="009F64A6">
              <w:rPr>
                <w:rFonts w:ascii="Times New Roman" w:hAnsi="Times New Roman" w:cs="Times New Roman"/>
              </w:rPr>
              <w:t>Astrum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Wrocław 1999 D. </w:t>
            </w:r>
            <w:proofErr w:type="spellStart"/>
            <w:r w:rsidRPr="009F64A6">
              <w:rPr>
                <w:rFonts w:ascii="Times New Roman" w:hAnsi="Times New Roman" w:cs="Times New Roman"/>
              </w:rPr>
              <w:t>Mc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4A6">
              <w:rPr>
                <w:rFonts w:ascii="Times New Roman" w:hAnsi="Times New Roman" w:cs="Times New Roman"/>
              </w:rPr>
              <w:t>Quail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Teoria komunikowania masowego, PWN, Warszawa 2007 P. Francuz (red.), Komunikacja wizualna, Scholar, Warszawa 2012 P. Hartley, Komunikowanie interpersonalne, </w:t>
            </w:r>
            <w:proofErr w:type="spellStart"/>
            <w:r w:rsidRPr="009F64A6">
              <w:rPr>
                <w:rFonts w:ascii="Times New Roman" w:hAnsi="Times New Roman" w:cs="Times New Roman"/>
              </w:rPr>
              <w:t>Astrum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Wrocław 1999 A. </w:t>
            </w:r>
            <w:proofErr w:type="spellStart"/>
            <w:r w:rsidRPr="009F64A6">
              <w:rPr>
                <w:rFonts w:ascii="Times New Roman" w:hAnsi="Times New Roman" w:cs="Times New Roman"/>
              </w:rPr>
              <w:t>Jarmuła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Manipulacja i wywieranie wpływu na ludzi, </w:t>
            </w:r>
            <w:proofErr w:type="spellStart"/>
            <w:r w:rsidRPr="009F64A6">
              <w:rPr>
                <w:rFonts w:ascii="Times New Roman" w:hAnsi="Times New Roman" w:cs="Times New Roman"/>
              </w:rPr>
              <w:t>Astrum</w:t>
            </w:r>
            <w:proofErr w:type="spellEnd"/>
            <w:r w:rsidRPr="009F64A6">
              <w:rPr>
                <w:rFonts w:ascii="Times New Roman" w:hAnsi="Times New Roman" w:cs="Times New Roman"/>
              </w:rPr>
              <w:t xml:space="preserve">, Wrocław 2006 </w:t>
            </w:r>
          </w:p>
        </w:tc>
      </w:tr>
    </w:tbl>
    <w:p w:rsidR="00E108E7" w:rsidRDefault="00E108E7"/>
    <w:sectPr w:rsidR="00E108E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DD" w:rsidRDefault="00927BDD">
      <w:pPr>
        <w:spacing w:after="0" w:line="240" w:lineRule="auto"/>
      </w:pPr>
      <w:r>
        <w:separator/>
      </w:r>
    </w:p>
  </w:endnote>
  <w:endnote w:type="continuationSeparator" w:id="0">
    <w:p w:rsidR="00927BDD" w:rsidRDefault="0092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DD" w:rsidRDefault="00927BDD">
      <w:pPr>
        <w:spacing w:after="0" w:line="240" w:lineRule="auto"/>
      </w:pPr>
      <w:r>
        <w:separator/>
      </w:r>
    </w:p>
  </w:footnote>
  <w:footnote w:type="continuationSeparator" w:id="0">
    <w:p w:rsidR="00927BDD" w:rsidRDefault="0092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E7" w:rsidRDefault="00B22627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E108E7" w:rsidRDefault="00E1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BB2"/>
    <w:multiLevelType w:val="multilevel"/>
    <w:tmpl w:val="D11A83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D30A9D"/>
    <w:multiLevelType w:val="hybridMultilevel"/>
    <w:tmpl w:val="5DAE75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1724"/>
    <w:multiLevelType w:val="hybridMultilevel"/>
    <w:tmpl w:val="E41EE8FC"/>
    <w:lvl w:ilvl="0" w:tplc="AA109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C83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207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CE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26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1F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8C2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68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6939B8"/>
    <w:multiLevelType w:val="hybridMultilevel"/>
    <w:tmpl w:val="1638C9BA"/>
    <w:lvl w:ilvl="0" w:tplc="A17CB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2A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E93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D7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2F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24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E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4C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60D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3632B6"/>
    <w:multiLevelType w:val="hybridMultilevel"/>
    <w:tmpl w:val="7A301BEE"/>
    <w:lvl w:ilvl="0" w:tplc="F8B0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80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4A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8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8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26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0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C6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03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AE3D61"/>
    <w:multiLevelType w:val="multilevel"/>
    <w:tmpl w:val="ED86DA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E7"/>
    <w:rsid w:val="00001CD8"/>
    <w:rsid w:val="00002065"/>
    <w:rsid w:val="0000501E"/>
    <w:rsid w:val="000331F0"/>
    <w:rsid w:val="00045F3A"/>
    <w:rsid w:val="00047FE8"/>
    <w:rsid w:val="00093455"/>
    <w:rsid w:val="000E29EC"/>
    <w:rsid w:val="000E7E9E"/>
    <w:rsid w:val="00134DE2"/>
    <w:rsid w:val="00190FBB"/>
    <w:rsid w:val="001D3F5F"/>
    <w:rsid w:val="001F0684"/>
    <w:rsid w:val="001F33AA"/>
    <w:rsid w:val="00205B10"/>
    <w:rsid w:val="00212799"/>
    <w:rsid w:val="00232BEB"/>
    <w:rsid w:val="002471A1"/>
    <w:rsid w:val="00257C02"/>
    <w:rsid w:val="002775A8"/>
    <w:rsid w:val="00286DF5"/>
    <w:rsid w:val="002952BC"/>
    <w:rsid w:val="002B442D"/>
    <w:rsid w:val="002C0D22"/>
    <w:rsid w:val="002E2533"/>
    <w:rsid w:val="002F7800"/>
    <w:rsid w:val="003008D9"/>
    <w:rsid w:val="00307F8F"/>
    <w:rsid w:val="00324F49"/>
    <w:rsid w:val="00340520"/>
    <w:rsid w:val="003C5AC2"/>
    <w:rsid w:val="003E010A"/>
    <w:rsid w:val="003E3D7F"/>
    <w:rsid w:val="00404C25"/>
    <w:rsid w:val="00406186"/>
    <w:rsid w:val="00427874"/>
    <w:rsid w:val="00441742"/>
    <w:rsid w:val="00452AA4"/>
    <w:rsid w:val="004A3429"/>
    <w:rsid w:val="004C4278"/>
    <w:rsid w:val="004C486B"/>
    <w:rsid w:val="004C7052"/>
    <w:rsid w:val="005146AD"/>
    <w:rsid w:val="0051472A"/>
    <w:rsid w:val="005415DD"/>
    <w:rsid w:val="0054250E"/>
    <w:rsid w:val="00562F1F"/>
    <w:rsid w:val="00567E77"/>
    <w:rsid w:val="00567EC6"/>
    <w:rsid w:val="00575718"/>
    <w:rsid w:val="005B610D"/>
    <w:rsid w:val="005B7E6E"/>
    <w:rsid w:val="005E078A"/>
    <w:rsid w:val="005F017B"/>
    <w:rsid w:val="005F046E"/>
    <w:rsid w:val="00601C4D"/>
    <w:rsid w:val="0060209D"/>
    <w:rsid w:val="00654079"/>
    <w:rsid w:val="00671870"/>
    <w:rsid w:val="00677260"/>
    <w:rsid w:val="00697C6C"/>
    <w:rsid w:val="00697CB5"/>
    <w:rsid w:val="006D1B7B"/>
    <w:rsid w:val="007247A9"/>
    <w:rsid w:val="00774451"/>
    <w:rsid w:val="007838B6"/>
    <w:rsid w:val="00784DCC"/>
    <w:rsid w:val="00793B13"/>
    <w:rsid w:val="007A1DE6"/>
    <w:rsid w:val="007A63C6"/>
    <w:rsid w:val="007A7C0D"/>
    <w:rsid w:val="007A7F7A"/>
    <w:rsid w:val="007B55AB"/>
    <w:rsid w:val="007D2888"/>
    <w:rsid w:val="00807CBC"/>
    <w:rsid w:val="00826A27"/>
    <w:rsid w:val="00827CD2"/>
    <w:rsid w:val="008469F9"/>
    <w:rsid w:val="0086685F"/>
    <w:rsid w:val="0089090F"/>
    <w:rsid w:val="00895B1A"/>
    <w:rsid w:val="00895B7E"/>
    <w:rsid w:val="008C1126"/>
    <w:rsid w:val="009023BF"/>
    <w:rsid w:val="00912812"/>
    <w:rsid w:val="00927BDD"/>
    <w:rsid w:val="0093587B"/>
    <w:rsid w:val="00947D0A"/>
    <w:rsid w:val="00955DE3"/>
    <w:rsid w:val="009C4B47"/>
    <w:rsid w:val="009D3EB4"/>
    <w:rsid w:val="009E5214"/>
    <w:rsid w:val="009F64A6"/>
    <w:rsid w:val="00A002C3"/>
    <w:rsid w:val="00A04E22"/>
    <w:rsid w:val="00A45019"/>
    <w:rsid w:val="00A657E2"/>
    <w:rsid w:val="00A75147"/>
    <w:rsid w:val="00A8318C"/>
    <w:rsid w:val="00A87786"/>
    <w:rsid w:val="00A90A1C"/>
    <w:rsid w:val="00AA2C6E"/>
    <w:rsid w:val="00AE0495"/>
    <w:rsid w:val="00AE340F"/>
    <w:rsid w:val="00AF7102"/>
    <w:rsid w:val="00B22627"/>
    <w:rsid w:val="00B4409B"/>
    <w:rsid w:val="00B47FFA"/>
    <w:rsid w:val="00B853D5"/>
    <w:rsid w:val="00BC45DF"/>
    <w:rsid w:val="00BE6E78"/>
    <w:rsid w:val="00C07168"/>
    <w:rsid w:val="00C1714D"/>
    <w:rsid w:val="00C218FD"/>
    <w:rsid w:val="00C64193"/>
    <w:rsid w:val="00C6551B"/>
    <w:rsid w:val="00C807F2"/>
    <w:rsid w:val="00C9054C"/>
    <w:rsid w:val="00C94624"/>
    <w:rsid w:val="00C978E2"/>
    <w:rsid w:val="00CA0953"/>
    <w:rsid w:val="00CA1904"/>
    <w:rsid w:val="00CB2F1E"/>
    <w:rsid w:val="00CC104C"/>
    <w:rsid w:val="00CC76E8"/>
    <w:rsid w:val="00CE0380"/>
    <w:rsid w:val="00D07ABA"/>
    <w:rsid w:val="00D10A5E"/>
    <w:rsid w:val="00D11316"/>
    <w:rsid w:val="00D20938"/>
    <w:rsid w:val="00D86DA9"/>
    <w:rsid w:val="00D87B2B"/>
    <w:rsid w:val="00DE3427"/>
    <w:rsid w:val="00DF6C8F"/>
    <w:rsid w:val="00E07A96"/>
    <w:rsid w:val="00E108E7"/>
    <w:rsid w:val="00E23540"/>
    <w:rsid w:val="00E37C29"/>
    <w:rsid w:val="00E72FFE"/>
    <w:rsid w:val="00E826E6"/>
    <w:rsid w:val="00E929F4"/>
    <w:rsid w:val="00EE7264"/>
    <w:rsid w:val="00EF2B6E"/>
    <w:rsid w:val="00F10543"/>
    <w:rsid w:val="00F10772"/>
    <w:rsid w:val="00F10EA2"/>
    <w:rsid w:val="00F821B3"/>
    <w:rsid w:val="00FA65B1"/>
    <w:rsid w:val="00FC5C80"/>
    <w:rsid w:val="00FD4013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Anna Łukasiewicz</dc:creator>
  <cp:lastModifiedBy>lukasz</cp:lastModifiedBy>
  <cp:revision>18</cp:revision>
  <cp:lastPrinted>2019-01-23T11:10:00Z</cp:lastPrinted>
  <dcterms:created xsi:type="dcterms:W3CDTF">2024-02-22T16:33:00Z</dcterms:created>
  <dcterms:modified xsi:type="dcterms:W3CDTF">2024-06-24T13:40:00Z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