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KARTA PRZEDMIOTU</w:t>
        <w:br/>
      </w:r>
      <w:r>
        <w:rPr>
          <w:bCs/>
        </w:rPr>
        <w:t>Cykl kształcenia od roku akademickiego:</w:t>
      </w:r>
      <w:r>
        <w:rPr>
          <w:b/>
        </w:rPr>
        <w:t xml:space="preserve"> 2025_26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4"/>
        <w:gridCol w:w="4528"/>
      </w:tblGrid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Nazwa przedmiotu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Prawo pracy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Nazwa przedmiotu w języku angielskim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Labour law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Kierunek studiów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zarządzanie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Poziom studiów (I, II, jednolite magisterskie)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II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Forma studiów (stacjonarne, niestacjonarne)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stacjonarne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Dyscyplina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Nauki o zarządzaniu i jakości 100%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Język wykładowy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4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Koordynator przedmiotu/osoba odpowiedzialna</w:t>
            </w:r>
          </w:p>
        </w:tc>
        <w:tc>
          <w:tcPr>
            <w:tcW w:w="4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Dr Maciej Jarota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9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Forma zajęć</w:t>
            </w:r>
            <w:r>
              <w:rPr>
                <w:rFonts w:eastAsia="" w:cs=""/>
                <w:i/>
                <w:kern w:val="0"/>
                <w:sz w:val="22"/>
                <w:szCs w:val="22"/>
                <w:lang w:val="pl-PL" w:eastAsia="pl-PL" w:bidi="ar-SA"/>
              </w:rPr>
              <w:t>(katalog zamknięty ze słownika)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semestr</w:t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wykład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30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VI</w:t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50"/>
      </w:tblGrid>
      <w:tr>
        <w:trPr/>
        <w:tc>
          <w:tcPr>
            <w:tcW w:w="22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Wymagania wstępne</w:t>
            </w:r>
          </w:p>
        </w:tc>
        <w:tc>
          <w:tcPr>
            <w:tcW w:w="6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znajomość hierarchii źródeł prawa powszechnie obowiązującego.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C1 - Podniesienie wśród studentów świadomości prawnej w zakresie funkcjonowania na rynku pracy.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3"/>
        <w:gridCol w:w="5831"/>
        <w:gridCol w:w="2138"/>
      </w:tblGrid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Symbol</w:t>
            </w:r>
          </w:p>
        </w:tc>
        <w:tc>
          <w:tcPr>
            <w:tcW w:w="58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Opis efektu przedmiotowego</w:t>
            </w:r>
          </w:p>
        </w:tc>
        <w:tc>
          <w:tcPr>
            <w:tcW w:w="21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WIEDZA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W_01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 xml:space="preserve">Student </w:t>
            </w: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 xml:space="preserve">zna i rozumie w </w:t>
            </w: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 xml:space="preserve">pogłębionym </w:t>
            </w: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 xml:space="preserve">stopniu </w:t>
            </w: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hierarchię źródeł prawa z zakresu prawa pracy i budowę norm prawnych; zna szczegółowe uwarunkowania tworzenia prawa w obszarze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prawa pracy i jego stosowania; zna i rozumie zasady wykładni i interpretacji przepisów i orzecznictwa z zakresu prawa pracy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K_W02,K_W06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W_02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ArialMT" w:ascii="ArialMT" w:hAnsi="ArialMT"/>
                <w:kern w:val="0"/>
                <w:sz w:val="18"/>
                <w:szCs w:val="18"/>
                <w:lang w:val="pl-PL" w:eastAsia="pl-PL" w:bidi="ar-SA"/>
              </w:rPr>
              <w:t xml:space="preserve">Student </w:t>
            </w:r>
            <w:r>
              <w:rPr>
                <w:rFonts w:eastAsia="" w:cs="ArialMT" w:ascii="ArialMT" w:hAnsi="ArialMT"/>
                <w:kern w:val="0"/>
                <w:sz w:val="18"/>
                <w:szCs w:val="18"/>
                <w:lang w:val="pl-PL" w:eastAsia="pl-PL" w:bidi="ar-SA"/>
              </w:rPr>
              <w:t>zna i rozumie</w:t>
            </w:r>
            <w:r>
              <w:rPr>
                <w:rFonts w:eastAsia="" w:cs="ArialMT" w:ascii="ArialMT" w:hAnsi="ArialMT"/>
                <w:kern w:val="0"/>
                <w:sz w:val="18"/>
                <w:szCs w:val="18"/>
                <w:lang w:val="pl-PL" w:eastAsia="pl-PL" w:bidi="ar-SA"/>
              </w:rPr>
              <w:t xml:space="preserve"> </w:t>
            </w: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etyczne dylematy zarządzania związane z prawem pracy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K_W08</w:t>
            </w:r>
          </w:p>
        </w:tc>
      </w:tr>
    </w:tbl>
    <w:p>
      <w:pPr>
        <w:pStyle w:val="ListParagraph"/>
        <w:ind w:left="108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1. Źródła prawa pracy. 2. Najczęściej popełniane błędy przy poszukiwaniu pracy i sposoby ich unikania. 3. Zasady prawa pracy. 4. Umowy o pracę. Porównanie stanu obecnego z zapowiedziami zmian ustawodawczych. 5. Ustanie i zmiana stosunku pracy zawartego na podstawie umowy o pracę. Porównanie stanu obecnego z zapowiedziami zmian ustawodawczych. 6. Ustanie i zmiana stosunku pracy zawartego na podstawie innej niż umowa o pracę. Porównanie stanu obecnego z zapowiedziami zmian ustawodawczych. 7-10. Obowiązki pracodawcy. Obowiązki pracownika. 11. Odpowiedzialność za niewykonanie lub nienależyte wykonanie obowiązków ze stosunku pracy. 12. Czas pracy i urlopy. Ochrona rodzicielstwa. 13. Bezpieczeństwo i higiena pracy. 14. Rozpatrywanie sporów o roszczenia ze stosunku pracy. Zbiorowe prawo pracy. Porównanie stanu obecnego z zapowiedziami zmian ustawodawczych.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3"/>
        <w:gridCol w:w="2600"/>
        <w:gridCol w:w="2795"/>
        <w:gridCol w:w="2584"/>
      </w:tblGrid>
      <w:tr>
        <w:trPr/>
        <w:tc>
          <w:tcPr>
            <w:tcW w:w="10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Symbol efektu</w:t>
            </w:r>
          </w:p>
        </w:tc>
        <w:tc>
          <w:tcPr>
            <w:tcW w:w="26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Metody dydaktyczne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i/>
                <w:kern w:val="0"/>
                <w:sz w:val="18"/>
                <w:szCs w:val="18"/>
                <w:lang w:val="pl-PL" w:eastAsia="pl-PL" w:bidi="ar-SA"/>
              </w:rPr>
              <w:t>(lista wyboru)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Metody weryfikacji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i/>
                <w:kern w:val="0"/>
                <w:sz w:val="18"/>
                <w:szCs w:val="18"/>
                <w:lang w:val="pl-PL" w:eastAsia="pl-PL" w:bidi="ar-SA"/>
              </w:rPr>
              <w:t>(lista wyboru)</w:t>
            </w:r>
          </w:p>
        </w:tc>
        <w:tc>
          <w:tcPr>
            <w:tcW w:w="25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Sposoby dokumentacji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i/>
                <w:kern w:val="0"/>
                <w:sz w:val="18"/>
                <w:szCs w:val="18"/>
                <w:lang w:val="pl-PL" w:eastAsia="pl-PL" w:bidi="ar-SA"/>
              </w:rPr>
              <w:t>(lista wyboru)</w:t>
            </w:r>
          </w:p>
        </w:tc>
      </w:tr>
      <w:tr>
        <w:trPr/>
        <w:tc>
          <w:tcPr>
            <w:tcW w:w="9062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WIEDZA</w:t>
            </w:r>
          </w:p>
        </w:tc>
      </w:tr>
      <w:tr>
        <w:trPr/>
        <w:tc>
          <w:tcPr>
            <w:tcW w:w="10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W_01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Wykład konwencjonalny, prezentacja materiałów audiowizualnych</w:t>
            </w:r>
          </w:p>
        </w:tc>
        <w:tc>
          <w:tcPr>
            <w:tcW w:w="2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Zaliczenie pisemne</w:t>
            </w:r>
          </w:p>
        </w:tc>
        <w:tc>
          <w:tcPr>
            <w:tcW w:w="25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Sprawdzone prace zaliczeniowe</w:t>
            </w:r>
          </w:p>
        </w:tc>
      </w:tr>
      <w:tr>
        <w:trPr/>
        <w:tc>
          <w:tcPr>
            <w:tcW w:w="10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W_02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Wykład konwencjonalny, prezentacja materiałów audiowizualnych</w:t>
            </w:r>
          </w:p>
        </w:tc>
        <w:tc>
          <w:tcPr>
            <w:tcW w:w="2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Zaliczenie pisemne</w:t>
            </w:r>
          </w:p>
        </w:tc>
        <w:tc>
          <w:tcPr>
            <w:tcW w:w="25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Sprawdzone prace zaliczeniowe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ind w:left="108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>
      <w:pPr>
        <w:pStyle w:val="Normal"/>
        <w:rPr/>
      </w:pPr>
      <w:r>
        <w:rPr/>
        <w:t xml:space="preserve">Pisemny sprawdzian końcowy – pytania otwarte. </w:t>
        <w:br/>
        <w:t>Skala ocen:</w:t>
      </w:r>
    </w:p>
    <w:p>
      <w:pPr>
        <w:pStyle w:val="Normal"/>
        <w:spacing w:before="0" w:after="0"/>
        <w:ind w:left="360"/>
        <w:rPr/>
      </w:pPr>
      <w:r>
        <w:rPr/>
        <w:t>0 – 50 %</w:t>
        <w:tab/>
        <w:t>ocena niedostateczna</w:t>
      </w:r>
    </w:p>
    <w:p>
      <w:pPr>
        <w:pStyle w:val="Normal"/>
        <w:spacing w:before="0" w:after="0"/>
        <w:ind w:left="360"/>
        <w:rPr/>
      </w:pPr>
      <w:r>
        <w:rPr/>
        <w:t>51 – 60 %</w:t>
        <w:tab/>
        <w:t>ocena dostateczna</w:t>
      </w:r>
    </w:p>
    <w:p>
      <w:pPr>
        <w:pStyle w:val="Normal"/>
        <w:spacing w:before="0" w:after="0"/>
        <w:ind w:left="360"/>
        <w:rPr/>
      </w:pPr>
      <w:r>
        <w:rPr/>
        <w:t>61 – 70 %</w:t>
        <w:tab/>
        <w:t>ocena dostateczna plus</w:t>
      </w:r>
    </w:p>
    <w:p>
      <w:pPr>
        <w:pStyle w:val="Normal"/>
        <w:spacing w:before="0" w:after="0"/>
        <w:ind w:left="360"/>
        <w:rPr/>
      </w:pPr>
      <w:r>
        <w:rPr/>
        <w:t xml:space="preserve">71 – 80 % </w:t>
        <w:tab/>
        <w:t>ocena dobra</w:t>
      </w:r>
    </w:p>
    <w:p>
      <w:pPr>
        <w:pStyle w:val="Normal"/>
        <w:spacing w:before="0" w:after="0"/>
        <w:ind w:left="360"/>
        <w:rPr/>
      </w:pPr>
      <w:r>
        <w:rPr/>
        <w:t xml:space="preserve">81 – 90 % </w:t>
        <w:tab/>
        <w:t>ocena dobra plus</w:t>
      </w:r>
    </w:p>
    <w:p>
      <w:pPr>
        <w:pStyle w:val="Normal"/>
        <w:spacing w:before="0" w:after="0"/>
        <w:ind w:left="360"/>
        <w:rPr/>
      </w:pPr>
      <w:r>
        <w:rPr/>
        <w:t xml:space="preserve">91 – 100% </w:t>
        <w:tab/>
        <w:t>ocena bardzo dobra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4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Forma aktywności studenta</w:t>
            </w:r>
          </w:p>
        </w:tc>
        <w:tc>
          <w:tcPr>
            <w:tcW w:w="4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Liczba godzin kontaktowych z nauczycielem</w:t>
            </w:r>
          </w:p>
        </w:tc>
        <w:tc>
          <w:tcPr>
            <w:tcW w:w="4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pl-PL" w:eastAsia="pl-PL" w:bidi="ar-SA"/>
              </w:rPr>
              <w:t>30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Liczba godzin indywidualnej pracy studenta</w:t>
            </w:r>
          </w:p>
        </w:tc>
        <w:tc>
          <w:tcPr>
            <w:tcW w:w="4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pl-PL" w:eastAsia="pl-PL" w:bidi="ar-SA"/>
              </w:rPr>
              <w:t>20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 xml:space="preserve">L. Florek, Ł. Pisarczyk, </w:t>
            </w:r>
            <w:r>
              <w:rPr>
                <w:rFonts w:eastAsia="" w:cs=""/>
                <w:i/>
                <w:iCs/>
                <w:kern w:val="0"/>
                <w:sz w:val="22"/>
                <w:szCs w:val="22"/>
                <w:lang w:val="pl-PL" w:eastAsia="pl-PL" w:bidi="ar-SA"/>
              </w:rPr>
              <w:t>Prawo pracy</w:t>
            </w: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, C.H. Beck, Warszawa 2021 (lub późniejsze)</w:t>
            </w:r>
            <w:bookmarkStart w:id="0" w:name="_GoBack"/>
            <w:bookmarkEnd w:id="0"/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 xml:space="preserve">K. Machowicz, </w:t>
            </w:r>
            <w:r>
              <w:rPr>
                <w:rFonts w:eastAsia="" w:cs=""/>
                <w:i/>
                <w:kern w:val="0"/>
                <w:sz w:val="22"/>
                <w:szCs w:val="22"/>
                <w:lang w:val="pl-PL" w:eastAsia="pl-PL" w:bidi="ar-SA"/>
              </w:rPr>
              <w:t>Przestrzeganie praw człowieka w budowaniu przewagi konkurencyjnej przedsiębiorstw</w:t>
            </w: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, Difin 2020 – rozdział II: Nierówne traktowanie w zatrudnieniu a sytuacja przedsiębiorstwa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Cs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K. Machowicz,</w:t>
            </w:r>
            <w:r>
              <w:rPr>
                <w:rFonts w:eastAsia="" w:cs=""/>
                <w:iCs/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rFonts w:eastAsia="" w:cs=""/>
                <w:i/>
                <w:kern w:val="0"/>
                <w:sz w:val="22"/>
                <w:szCs w:val="22"/>
                <w:lang w:val="pl-PL" w:eastAsia="pl-PL" w:bidi="ar-SA"/>
              </w:rPr>
              <w:t>Ochrona praw człowieka w sektorze prywatnym w Rzeczypospolitej Polskiej</w:t>
            </w:r>
            <w:r>
              <w:rPr>
                <w:rFonts w:eastAsia="" w:cs=""/>
                <w:iCs/>
                <w:kern w:val="0"/>
                <w:sz w:val="22"/>
                <w:szCs w:val="22"/>
                <w:lang w:val="pl-PL" w:eastAsia="pl-PL" w:bidi="ar-SA"/>
              </w:rPr>
              <w:t>, Warszawa, PWN 2025 – podrozdziały: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Cs/>
              </w:rPr>
            </w:pPr>
            <w:r>
              <w:rPr>
                <w:rFonts w:eastAsia="" w:cs=""/>
                <w:iCs/>
                <w:kern w:val="0"/>
                <w:sz w:val="22"/>
                <w:szCs w:val="22"/>
                <w:lang w:val="pl-PL" w:eastAsia="pl-PL" w:bidi="ar-SA"/>
              </w:rPr>
              <w:t>II.2 Zakaz niehumanitarnego traktowania oraz zakaz dyskryminacji jako podstawa przeciwdziałania patologiom w sferze społeczno-gospodarczej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III.1 Wolność zgromadzania się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III 2 Wolność zrzeszania się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IV.3 Wolność wyboru i wykonywania zawodu oraz wyboru miejsca pracy, prawo do godziwego wynagrodzenia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IV.4 Prawo do bezpiecznych i higienicznych warunków pracy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IV.5 Prawo do zabezpieczenia społecznego.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Ustawa z dnia 26 czerwca 1974 r. Kodeks pracy - wycią</w:t>
            </w:r>
            <w:r>
              <w:rPr>
                <w:rFonts w:eastAsia="" w:cs=""/>
                <w:b/>
                <w:bCs/>
                <w:kern w:val="0"/>
                <w:sz w:val="22"/>
                <w:szCs w:val="22"/>
                <w:lang w:val="pl-PL" w:eastAsia="pl-PL" w:bidi="ar-SA"/>
              </w:rPr>
              <w:t>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 xml:space="preserve">Ustawa z dnia 4 lutego 1994 r. o prawie autorskim i prawach pokrewnych - wyciąg </w:t>
              <w:br/>
              <w:t>Ustawa z dnia 30 czerwca 2000 r. Prawo własności przemysłowej - wyciąg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</w:rPr>
    </w:pPr>
    <w:r>
      <w:rPr>
        <w:i/>
      </w:rPr>
      <w:t>Załącznik nr 5 do dokumentacji programowej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</w:rPr>
    </w:pPr>
    <w:r>
      <w:rPr>
        <w:i/>
      </w:rPr>
      <w:t>Załącznik nr 5 do dokumentacji programowej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Hyperlink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link w:val="Header"/>
    <w:uiPriority w:val="99"/>
    <w:qFormat/>
    <w:rsid w:val="00b0427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54db8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7841b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/>
      <w:color w:val="000000"/>
      <w:kern w:val="0"/>
      <w:sz w:val="24"/>
      <w:szCs w:val="24"/>
      <w:lang w:val="pl-PL" w:eastAsia="pl-PL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8400-D5B5-4DA3-ACA1-47CCE1FC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LibreOffice/26.2.0.3$Windows_X86_64 LibreOffice_project/620$Build-3</Application>
  <AppVersion>15.0000</AppVersion>
  <Pages>4</Pages>
  <Words>696</Words>
  <Characters>4181</Characters>
  <CharactersWithSpaces>4868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2025-07-09T18:17:00Z</dcterms:created>
  <dc:creator>Anna Łukasiewicz</dc:creator>
  <dc:description/>
  <dc:language>pl-PL</dc:language>
  <cp:lastModifiedBy/>
  <cp:lastPrinted>2019-01-23T11:10:00Z</cp:lastPrinted>
  <dcterms:modified xsi:type="dcterms:W3CDTF">2026-02-12T23:10:27Z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