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9DDD" w14:textId="77777777" w:rsidR="00962084" w:rsidRPr="00B305C4" w:rsidRDefault="00000000" w:rsidP="00B305C4">
      <w:p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 xml:space="preserve">KARTA PRZEDMIOTU </w:t>
      </w:r>
    </w:p>
    <w:p w14:paraId="1664FCB5" w14:textId="77777777" w:rsidR="00962084" w:rsidRPr="00B305C4" w:rsidRDefault="00962084" w:rsidP="00B305C4">
      <w:pPr>
        <w:spacing w:after="0"/>
        <w:rPr>
          <w:rFonts w:cs="Calibri"/>
          <w:b/>
          <w:bCs/>
          <w:sz w:val="24"/>
          <w:szCs w:val="24"/>
        </w:rPr>
      </w:pPr>
    </w:p>
    <w:p w14:paraId="3B3F61ED" w14:textId="77777777" w:rsidR="00962084" w:rsidRPr="00B305C4" w:rsidRDefault="00000000" w:rsidP="00B305C4">
      <w:pPr>
        <w:pStyle w:val="Akapitzlist"/>
        <w:numPr>
          <w:ilvl w:val="0"/>
          <w:numId w:val="1"/>
        </w:num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>Dane podstawowe</w:t>
      </w: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962084" w:rsidRPr="00B305C4" w14:paraId="392C770E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774" w14:textId="77777777" w:rsidR="00962084" w:rsidRPr="00B305C4" w:rsidRDefault="00000000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C543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Tożsamość płciowa - rozwój i wychowanie</w:t>
            </w:r>
          </w:p>
        </w:tc>
      </w:tr>
      <w:tr w:rsidR="00962084" w:rsidRPr="00B305C4" w14:paraId="3EF54AB8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1425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DB42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Sexual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Identity-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evolution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and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education</w:t>
            </w:r>
            <w:proofErr w:type="spellEnd"/>
          </w:p>
        </w:tc>
      </w:tr>
      <w:tr w:rsidR="00962084" w:rsidRPr="00B305C4" w14:paraId="74E53E00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4338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9509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Pedagogika </w:t>
            </w:r>
          </w:p>
        </w:tc>
      </w:tr>
      <w:tr w:rsidR="00962084" w:rsidRPr="00B305C4" w14:paraId="1E843434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DFF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D30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I</w:t>
            </w:r>
          </w:p>
        </w:tc>
      </w:tr>
      <w:tr w:rsidR="00962084" w:rsidRPr="00B305C4" w14:paraId="1ED268C9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7998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99BA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stacjonarne</w:t>
            </w:r>
          </w:p>
        </w:tc>
      </w:tr>
      <w:tr w:rsidR="00962084" w:rsidRPr="00B305C4" w14:paraId="53041306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B64C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3BD3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pedagogika</w:t>
            </w:r>
          </w:p>
        </w:tc>
      </w:tr>
      <w:tr w:rsidR="00962084" w:rsidRPr="00B305C4" w14:paraId="332736DF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34E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A747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język polski</w:t>
            </w:r>
          </w:p>
        </w:tc>
      </w:tr>
    </w:tbl>
    <w:p w14:paraId="0270C7F5" w14:textId="77777777" w:rsidR="00962084" w:rsidRPr="00B305C4" w:rsidRDefault="00962084" w:rsidP="00B305C4">
      <w:pPr>
        <w:pStyle w:val="Akapitzlist"/>
        <w:widowControl w:val="0"/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</w:p>
    <w:p w14:paraId="3BB3A54C" w14:textId="77777777" w:rsidR="00962084" w:rsidRPr="00B305C4" w:rsidRDefault="00962084" w:rsidP="00B305C4">
      <w:pPr>
        <w:spacing w:after="0"/>
        <w:rPr>
          <w:rFonts w:cs="Calibri"/>
          <w:sz w:val="24"/>
          <w:szCs w:val="24"/>
        </w:rPr>
      </w:pP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962084" w:rsidRPr="00B305C4" w14:paraId="79E7AB80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1D4A" w14:textId="77777777" w:rsidR="00962084" w:rsidRPr="00B305C4" w:rsidRDefault="00000000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9812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dr hab. Danuta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Opozda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>, prof. KUL</w:t>
            </w:r>
          </w:p>
        </w:tc>
      </w:tr>
    </w:tbl>
    <w:p w14:paraId="47AB39D9" w14:textId="77777777" w:rsidR="00962084" w:rsidRPr="00B305C4" w:rsidRDefault="00962084" w:rsidP="00B305C4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0ED7067D" w14:textId="77777777" w:rsidR="00962084" w:rsidRPr="00B305C4" w:rsidRDefault="00962084" w:rsidP="00B305C4">
      <w:pPr>
        <w:spacing w:after="0"/>
        <w:rPr>
          <w:rFonts w:cs="Calibri"/>
          <w:sz w:val="24"/>
          <w:szCs w:val="24"/>
        </w:rPr>
      </w:pPr>
    </w:p>
    <w:tbl>
      <w:tblPr>
        <w:tblStyle w:val="TableNormal"/>
        <w:tblW w:w="9056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65"/>
        <w:gridCol w:w="2264"/>
        <w:gridCol w:w="2264"/>
        <w:gridCol w:w="2263"/>
      </w:tblGrid>
      <w:tr w:rsidR="00962084" w:rsidRPr="00B305C4" w14:paraId="51857BB4" w14:textId="77777777">
        <w:trPr>
          <w:trHeight w:val="569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95EA" w14:textId="77777777" w:rsidR="00962084" w:rsidRPr="00B305C4" w:rsidRDefault="00000000" w:rsidP="00B305C4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Forma zajęć </w:t>
            </w:r>
            <w:r w:rsidRPr="00B305C4">
              <w:rPr>
                <w:rFonts w:cs="Calibr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E29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Liczba godzin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DA46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semestr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812E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Punkty ECTS</w:t>
            </w:r>
          </w:p>
        </w:tc>
      </w:tr>
      <w:tr w:rsidR="00962084" w:rsidRPr="00B305C4" w14:paraId="49596F4D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8DD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wykład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C0D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472E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II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7BFD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3 </w:t>
            </w:r>
          </w:p>
        </w:tc>
      </w:tr>
      <w:tr w:rsidR="00962084" w:rsidRPr="00B305C4" w14:paraId="31902B0F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760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konwersatorium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EA8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1006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II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8A7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3478159A" w14:textId="77777777">
        <w:trPr>
          <w:trHeight w:val="29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B5E5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ćwiczenia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C4B2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A47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B58F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368B2104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8F0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laboratorium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50C7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A39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9DB6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1F7317D1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5E63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warsztaty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BDD4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3AE3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49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5BD3E5F3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7BF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seminarium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D46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D207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497C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42F33F9A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530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proseminarium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171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164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2542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2B68538A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CA2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lektorat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437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B1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10FB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27DAA2CF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8D41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praktyki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D253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A095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334B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28F6EE7B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9B85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zajęcia terenowe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943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ECF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38E8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760FEB3E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A220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pracownia dyplomowa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7D5E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D87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E75F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45CC8421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B184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8DF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66A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DB37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62084" w:rsidRPr="00B305C4" w14:paraId="0A1D9BBE" w14:textId="77777777">
        <w:trPr>
          <w:trHeight w:val="2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B3D7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lastRenderedPageBreak/>
              <w:t>wizyta studyjna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E61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7FD1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7A4C" w14:textId="77777777" w:rsidR="00962084" w:rsidRPr="00B305C4" w:rsidRDefault="00962084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2CEC6B3E" w14:textId="77777777" w:rsidR="00962084" w:rsidRPr="00B305C4" w:rsidRDefault="00962084" w:rsidP="00B305C4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04DAEB3D" w14:textId="77777777" w:rsidR="00962084" w:rsidRPr="00B305C4" w:rsidRDefault="00962084" w:rsidP="00B305C4">
      <w:pPr>
        <w:spacing w:after="0"/>
        <w:rPr>
          <w:rFonts w:cs="Calibri"/>
          <w:sz w:val="24"/>
          <w:szCs w:val="24"/>
        </w:rPr>
      </w:pP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32"/>
        <w:gridCol w:w="6980"/>
      </w:tblGrid>
      <w:tr w:rsidR="00962084" w:rsidRPr="00B305C4" w14:paraId="04BF1321" w14:textId="77777777">
        <w:trPr>
          <w:trHeight w:val="53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4219" w14:textId="77777777" w:rsidR="00962084" w:rsidRPr="00B305C4" w:rsidRDefault="00000000" w:rsidP="00B305C4">
            <w:pPr>
              <w:widowControl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A919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Zainteresowanie zagadnieniami pedagogicznymi, znajomość podstawowych pojęć z zakresu pedagogiki i psychologii ogólnej i rozwojowej</w:t>
            </w:r>
          </w:p>
        </w:tc>
      </w:tr>
    </w:tbl>
    <w:p w14:paraId="314D93F5" w14:textId="77777777" w:rsidR="00962084" w:rsidRPr="00B305C4" w:rsidRDefault="00962084" w:rsidP="00B305C4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0831F5F9" w14:textId="77777777" w:rsidR="00962084" w:rsidRPr="00B305C4" w:rsidRDefault="00962084" w:rsidP="00B305C4">
      <w:pPr>
        <w:spacing w:after="0"/>
        <w:jc w:val="both"/>
        <w:rPr>
          <w:rFonts w:cs="Calibri"/>
          <w:sz w:val="24"/>
          <w:szCs w:val="24"/>
        </w:rPr>
      </w:pPr>
    </w:p>
    <w:p w14:paraId="7FB60E5F" w14:textId="77777777" w:rsidR="00962084" w:rsidRPr="00B305C4" w:rsidRDefault="00962084" w:rsidP="00B305C4">
      <w:pPr>
        <w:spacing w:after="0"/>
        <w:rPr>
          <w:rFonts w:cs="Calibri"/>
          <w:sz w:val="24"/>
          <w:szCs w:val="24"/>
        </w:rPr>
      </w:pPr>
    </w:p>
    <w:p w14:paraId="06524634" w14:textId="77777777" w:rsidR="00962084" w:rsidRPr="00B305C4" w:rsidRDefault="00000000" w:rsidP="00B305C4">
      <w:pPr>
        <w:pStyle w:val="Akapitzlist"/>
        <w:numPr>
          <w:ilvl w:val="0"/>
          <w:numId w:val="2"/>
        </w:num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 xml:space="preserve">Cele kształcenia dla przedmiotu </w:t>
      </w:r>
    </w:p>
    <w:tbl>
      <w:tblPr>
        <w:tblStyle w:val="TableNormal"/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62"/>
      </w:tblGrid>
      <w:tr w:rsidR="00962084" w:rsidRPr="00B305C4" w14:paraId="6D2285D0" w14:textId="77777777">
        <w:trPr>
          <w:trHeight w:val="2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FDC1" w14:textId="77777777" w:rsidR="00962084" w:rsidRPr="00B305C4" w:rsidRDefault="00000000" w:rsidP="00B305C4">
            <w:pPr>
              <w:widowControl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C1 – zapoznanie studentów z zagadnieniami związanymi z rozwojem i kształtowaniem tożsamości płciowej w cyklu życia.</w:t>
            </w:r>
          </w:p>
        </w:tc>
      </w:tr>
    </w:tbl>
    <w:p w14:paraId="210026EB" w14:textId="77777777" w:rsidR="00962084" w:rsidRPr="00B305C4" w:rsidRDefault="00962084" w:rsidP="00B305C4">
      <w:pPr>
        <w:pStyle w:val="Akapitzlist"/>
        <w:widowControl w:val="0"/>
        <w:spacing w:after="0" w:line="240" w:lineRule="auto"/>
        <w:ind w:left="1080"/>
        <w:rPr>
          <w:rFonts w:cs="Calibri"/>
          <w:sz w:val="24"/>
          <w:szCs w:val="24"/>
        </w:rPr>
      </w:pPr>
    </w:p>
    <w:p w14:paraId="1DE1DC37" w14:textId="77777777" w:rsidR="00962084" w:rsidRPr="00B305C4" w:rsidRDefault="00962084" w:rsidP="00B305C4">
      <w:pPr>
        <w:spacing w:after="0"/>
        <w:rPr>
          <w:rFonts w:cs="Calibri"/>
          <w:sz w:val="24"/>
          <w:szCs w:val="24"/>
        </w:rPr>
      </w:pPr>
    </w:p>
    <w:p w14:paraId="7CC9F175" w14:textId="77777777" w:rsidR="00962084" w:rsidRPr="00B305C4" w:rsidRDefault="00000000" w:rsidP="00B305C4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>Efekty uczenia się dla przedmiotu wraz z odniesieniem do efekt</w:t>
      </w:r>
      <w:r w:rsidRPr="00B305C4">
        <w:rPr>
          <w:rFonts w:cs="Calibri"/>
          <w:b/>
          <w:bCs/>
          <w:sz w:val="24"/>
          <w:szCs w:val="24"/>
          <w:lang w:val="es-ES_tradnl"/>
        </w:rPr>
        <w:t>ó</w:t>
      </w:r>
      <w:r w:rsidRPr="00B305C4">
        <w:rPr>
          <w:rFonts w:cs="Calibri"/>
          <w:b/>
          <w:bCs/>
          <w:sz w:val="24"/>
          <w:szCs w:val="24"/>
        </w:rPr>
        <w:t>w kierunkowych</w:t>
      </w:r>
    </w:p>
    <w:tbl>
      <w:tblPr>
        <w:tblStyle w:val="TableNormal"/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91"/>
        <w:gridCol w:w="5828"/>
        <w:gridCol w:w="2143"/>
      </w:tblGrid>
      <w:tr w:rsidR="00962084" w:rsidRPr="00B305C4" w14:paraId="726337A1" w14:textId="77777777">
        <w:trPr>
          <w:trHeight w:val="5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20A5" w14:textId="77777777" w:rsidR="00962084" w:rsidRPr="00B305C4" w:rsidRDefault="00000000" w:rsidP="00B305C4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Symbol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3F9E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Opis efektu przedmiotowego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7CE4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Odniesienie do efektu kierunkowego</w:t>
            </w:r>
          </w:p>
        </w:tc>
      </w:tr>
      <w:tr w:rsidR="00962084" w:rsidRPr="00B305C4" w14:paraId="0E89D93B" w14:textId="77777777">
        <w:trPr>
          <w:trHeight w:val="27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E9E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WIEDZA</w:t>
            </w:r>
          </w:p>
        </w:tc>
      </w:tr>
      <w:tr w:rsidR="00962084" w:rsidRPr="00B305C4" w14:paraId="130F038A" w14:textId="77777777">
        <w:trPr>
          <w:trHeight w:val="7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5A23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W_01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E946" w14:textId="1C93AD85" w:rsidR="00962084" w:rsidRPr="00B305C4" w:rsidRDefault="00AC3234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Student zna i rozumie znaczenie inicjowania działań na rzecz opieki i wychowania w różnych środowiskach społecznych, uwzględniając procesy kształtowania tożsamości płciowej dzieci i młodzieży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63C" w14:textId="76149E1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K_W0</w:t>
            </w:r>
            <w:r w:rsidR="009A5A5E" w:rsidRPr="00B305C4">
              <w:rPr>
                <w:rFonts w:cs="Calibri"/>
                <w:sz w:val="24"/>
                <w:szCs w:val="24"/>
              </w:rPr>
              <w:t>4</w:t>
            </w:r>
          </w:p>
        </w:tc>
      </w:tr>
      <w:tr w:rsidR="00962084" w:rsidRPr="00B305C4" w14:paraId="4F24EF71" w14:textId="77777777">
        <w:trPr>
          <w:trHeight w:val="5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382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W_02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BBEB" w14:textId="4AC85EBF" w:rsidR="00962084" w:rsidRPr="00B305C4" w:rsidRDefault="00AC3234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Student zna i rozumie koncepcję integralnego rozwoju człowieka w cyklu życia oraz odpowiadające poszczególnym etapom cyklu aspekty wychowania, ze szczególnym uwzględnieniem kształtowania tożsamości płciowej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A1B" w14:textId="4EEEE5CC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K_W0</w:t>
            </w:r>
            <w:r w:rsidR="009A5A5E" w:rsidRPr="00B305C4">
              <w:rPr>
                <w:rFonts w:cs="Calibri"/>
                <w:sz w:val="24"/>
                <w:szCs w:val="24"/>
              </w:rPr>
              <w:t>5</w:t>
            </w:r>
          </w:p>
        </w:tc>
      </w:tr>
      <w:tr w:rsidR="00962084" w:rsidRPr="00B305C4" w14:paraId="184900D7" w14:textId="77777777">
        <w:trPr>
          <w:trHeight w:val="27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8F87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UMIEJĘTNOŚCI</w:t>
            </w:r>
          </w:p>
        </w:tc>
      </w:tr>
      <w:tr w:rsidR="00962084" w:rsidRPr="00B305C4" w14:paraId="22D1A807" w14:textId="77777777">
        <w:trPr>
          <w:trHeight w:val="7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6EE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U_01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7FF4" w14:textId="57B13EBE" w:rsidR="00962084" w:rsidRPr="00B305C4" w:rsidRDefault="00AC3234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Formułuje argumentację opartą na wiedzy naukowej z zakresu rozwoju człowieka, wychowania i kształtowania tożsamości płciowej, uwzględniając różnorodność opinii i kontekst praktyczny działań wychowawczych.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9786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K_U02</w:t>
            </w:r>
          </w:p>
        </w:tc>
      </w:tr>
      <w:tr w:rsidR="00962084" w:rsidRPr="00B305C4" w14:paraId="4DF6496A" w14:textId="77777777">
        <w:trPr>
          <w:trHeight w:val="7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DECC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U_02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122C" w14:textId="21997A75" w:rsidR="00962084" w:rsidRPr="00B305C4" w:rsidRDefault="00AC3234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Stosuje normy w analizie sytuacji wychowawczych oraz w planowaniu działań wspierających rozwój i kształtowanie tożsamości płciowej dzieci i młodzieży.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088F" w14:textId="7F6FFDD1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K_U0</w:t>
            </w:r>
            <w:r w:rsidR="009A5A5E" w:rsidRPr="00B305C4">
              <w:rPr>
                <w:rFonts w:cs="Calibri"/>
                <w:sz w:val="24"/>
                <w:szCs w:val="24"/>
              </w:rPr>
              <w:t>8</w:t>
            </w:r>
          </w:p>
        </w:tc>
      </w:tr>
      <w:tr w:rsidR="00962084" w:rsidRPr="00B305C4" w14:paraId="39328AF4" w14:textId="77777777">
        <w:trPr>
          <w:trHeight w:val="270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3DE6" w14:textId="77777777" w:rsidR="00962084" w:rsidRPr="00B305C4" w:rsidRDefault="00000000" w:rsidP="00B305C4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KOMPETENCJE SPOŁECZNE</w:t>
            </w:r>
          </w:p>
        </w:tc>
      </w:tr>
      <w:tr w:rsidR="00962084" w:rsidRPr="00B305C4" w14:paraId="51C2CAC7" w14:textId="77777777">
        <w:trPr>
          <w:trHeight w:val="7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89C8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K_01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A102" w14:textId="1F6C23DD" w:rsidR="00962084" w:rsidRPr="00B305C4" w:rsidRDefault="00AC3234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Kieruje się normą personalistyczną, wykazując odpowiedzialność, rzetelność i szacunek wobec osób objętych </w:t>
            </w:r>
            <w:r w:rsidRPr="00B305C4">
              <w:rPr>
                <w:rFonts w:cs="Calibri"/>
                <w:sz w:val="24"/>
                <w:szCs w:val="24"/>
              </w:rPr>
              <w:lastRenderedPageBreak/>
              <w:t>działaniami wychowawczymi, w szczególności w kontekście wspierania rozwoju i kształtowania tożsamości płciowej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C462" w14:textId="0C56669A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lastRenderedPageBreak/>
              <w:t>K_K0</w:t>
            </w:r>
            <w:r w:rsidR="009A5A5E" w:rsidRPr="00B305C4">
              <w:rPr>
                <w:rFonts w:cs="Calibri"/>
                <w:sz w:val="24"/>
                <w:szCs w:val="24"/>
              </w:rPr>
              <w:t>6</w:t>
            </w:r>
          </w:p>
        </w:tc>
      </w:tr>
      <w:tr w:rsidR="00962084" w:rsidRPr="00B305C4" w14:paraId="54FF2EA2" w14:textId="77777777">
        <w:trPr>
          <w:trHeight w:val="5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2B4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K_02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5823" w14:textId="54E49BD6" w:rsidR="00962084" w:rsidRPr="00B305C4" w:rsidRDefault="00AC3234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Poszukuje optymalnych rozwiązań zgodnych z zasadami etyki zawodowej, w szczególności personalistycznej i chrześcijańskiej, wykazując odpowiedzialność, uczciwość i szacunek wobec osób uczestniczących w procesach wychowawczych.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FAE6" w14:textId="51AF4CA6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K_K</w:t>
            </w:r>
            <w:r w:rsidR="009A5A5E" w:rsidRPr="00B305C4">
              <w:rPr>
                <w:rFonts w:cs="Calibri"/>
                <w:sz w:val="24"/>
                <w:szCs w:val="24"/>
              </w:rPr>
              <w:t>07</w:t>
            </w:r>
          </w:p>
        </w:tc>
      </w:tr>
    </w:tbl>
    <w:p w14:paraId="5CACD7F7" w14:textId="77777777" w:rsidR="00962084" w:rsidRPr="00B305C4" w:rsidRDefault="00962084" w:rsidP="00B305C4">
      <w:pPr>
        <w:pStyle w:val="Akapitzlist"/>
        <w:widowControl w:val="0"/>
        <w:spacing w:after="0" w:line="240" w:lineRule="auto"/>
        <w:ind w:left="1080"/>
        <w:rPr>
          <w:rFonts w:cs="Calibri"/>
          <w:sz w:val="24"/>
          <w:szCs w:val="24"/>
        </w:rPr>
      </w:pPr>
    </w:p>
    <w:p w14:paraId="6DE5F3C6" w14:textId="77777777" w:rsidR="00962084" w:rsidRPr="00B305C4" w:rsidRDefault="00962084" w:rsidP="00B305C4">
      <w:pPr>
        <w:pStyle w:val="Akapitzlist"/>
        <w:spacing w:after="0"/>
        <w:ind w:left="1080"/>
        <w:rPr>
          <w:rFonts w:cs="Calibri"/>
          <w:b/>
          <w:bCs/>
          <w:sz w:val="24"/>
          <w:szCs w:val="24"/>
        </w:rPr>
      </w:pPr>
    </w:p>
    <w:p w14:paraId="29C5D2FD" w14:textId="77777777" w:rsidR="00962084" w:rsidRPr="00B305C4" w:rsidRDefault="00000000" w:rsidP="00B305C4">
      <w:pPr>
        <w:pStyle w:val="Akapitzlist"/>
        <w:numPr>
          <w:ilvl w:val="0"/>
          <w:numId w:val="4"/>
        </w:num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>Opis przedmiotu/ treści programowe</w:t>
      </w: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212"/>
      </w:tblGrid>
      <w:tr w:rsidR="00962084" w:rsidRPr="00B305C4" w14:paraId="052A935C" w14:textId="77777777">
        <w:trPr>
          <w:trHeight w:val="404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08A8" w14:textId="77777777" w:rsidR="00962084" w:rsidRPr="00B305C4" w:rsidRDefault="00000000" w:rsidP="00B305C4">
            <w:pPr>
              <w:widowControl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b/>
                <w:bCs/>
                <w:sz w:val="24"/>
                <w:szCs w:val="24"/>
              </w:rPr>
              <w:t>Wykł</w:t>
            </w:r>
            <w:r w:rsidRPr="00B305C4">
              <w:rPr>
                <w:rFonts w:cs="Calibri"/>
                <w:b/>
                <w:bCs/>
                <w:sz w:val="24"/>
                <w:szCs w:val="24"/>
                <w:lang w:val="en-US"/>
              </w:rPr>
              <w:t>ady</w:t>
            </w:r>
            <w:proofErr w:type="spellEnd"/>
            <w:r w:rsidRPr="00B305C4">
              <w:rPr>
                <w:rFonts w:cs="Calibri"/>
                <w:b/>
                <w:bCs/>
                <w:sz w:val="24"/>
                <w:szCs w:val="24"/>
                <w:lang w:val="en-US"/>
              </w:rPr>
              <w:t>:</w:t>
            </w:r>
          </w:p>
          <w:p w14:paraId="0B24D938" w14:textId="77777777" w:rsidR="00962084" w:rsidRPr="00B305C4" w:rsidRDefault="00000000" w:rsidP="00B305C4">
            <w:pPr>
              <w:widowControl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Tożsamość indywidualna i społeczna; tożsamość jako jakościowa zmiana rozwojowa; tożsamość w teorii rozwoju psychospołecznego E.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Eriksona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; statusy tożsamościowe - koncepcja J.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Marcii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; D.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McAdamsa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i M.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Berzonsky’ego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rozumienie tożsamości; kryteria rozróżniające płeć, płeć, role płciowe, poczucie tożsamości płciowej - zakres semantyczny pojęć; socjobiologiczny i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socjokulturowy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model badań nad tożsamością płciową; teorie schematów płciowych S. Bem; H. Markus teoria schematów płciowych; Zintegrowany model badań nad tożsamością płciową; badania nad różnicami wynikającymi z płci; proces identyfikacji z płcią; inwazja tożsamościowa; kobiecość i męskość a role rodzinne; stereotypy płci (możliwości i ograniczenia, wychowanie dziecka)   </w:t>
            </w:r>
          </w:p>
          <w:p w14:paraId="1FADF810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Konwersatorium:</w:t>
            </w:r>
          </w:p>
          <w:p w14:paraId="7012328F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Rodzina wobec kształtowania tożsamości płciowej dziecka, różnice związane z płcią, czynniki warunkujące i zaburzające rozwój tożsamości płciowej, identyfikacja płciowa i role związane z płcią, stereotypy płci a wychowanie dziecka, wpływ środowiska na tożsamość płciową.</w:t>
            </w:r>
          </w:p>
        </w:tc>
      </w:tr>
    </w:tbl>
    <w:p w14:paraId="4D63EA31" w14:textId="77777777" w:rsidR="00962084" w:rsidRPr="00B305C4" w:rsidRDefault="00962084" w:rsidP="00B305C4">
      <w:pPr>
        <w:pStyle w:val="Akapitzlist"/>
        <w:widowControl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1C355E" w14:textId="77777777" w:rsidR="00962084" w:rsidRPr="00B305C4" w:rsidRDefault="00000000" w:rsidP="00B305C4">
      <w:pPr>
        <w:pStyle w:val="Akapitzlist"/>
        <w:numPr>
          <w:ilvl w:val="0"/>
          <w:numId w:val="5"/>
        </w:num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>Metody realizacji i weryfikacji efekt</w:t>
      </w:r>
      <w:r w:rsidRPr="00B305C4">
        <w:rPr>
          <w:rFonts w:cs="Calibri"/>
          <w:b/>
          <w:bCs/>
          <w:sz w:val="24"/>
          <w:szCs w:val="24"/>
          <w:lang w:val="es-ES_tradnl"/>
        </w:rPr>
        <w:t>ó</w:t>
      </w:r>
      <w:r w:rsidRPr="00B305C4">
        <w:rPr>
          <w:rFonts w:cs="Calibri"/>
          <w:b/>
          <w:bCs/>
          <w:sz w:val="24"/>
          <w:szCs w:val="24"/>
        </w:rPr>
        <w:t>w uczenia się</w:t>
      </w:r>
    </w:p>
    <w:p w14:paraId="09B3ABA4" w14:textId="15DBBB35" w:rsidR="009A5A5E" w:rsidRPr="00B305C4" w:rsidRDefault="009A5A5E" w:rsidP="00B305C4">
      <w:pPr>
        <w:suppressAutoHyphens/>
        <w:autoSpaceDN w:val="0"/>
        <w:spacing w:after="0" w:line="240" w:lineRule="auto"/>
        <w:textAlignment w:val="baseline"/>
        <w:rPr>
          <w:rFonts w:cs="Calibri"/>
          <w:b/>
          <w:sz w:val="24"/>
          <w:szCs w:val="2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"/>
        <w:gridCol w:w="2646"/>
        <w:gridCol w:w="2779"/>
        <w:gridCol w:w="2545"/>
      </w:tblGrid>
      <w:tr w:rsidR="009A5A5E" w:rsidRPr="00B305C4" w14:paraId="2857372B" w14:textId="77777777" w:rsidTr="001021B0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5DA9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073E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Metody dydaktyczne</w:t>
            </w:r>
          </w:p>
          <w:p w14:paraId="354CB01D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i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i/>
                <w:kern w:val="0"/>
                <w:lang w:val="pl-PL" w:eastAsia="en-US" w:bidi="ar-SA"/>
              </w:rPr>
              <w:t>(lista wyboru)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132A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Metody weryfikacji</w:t>
            </w:r>
          </w:p>
          <w:p w14:paraId="42A508CD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i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i/>
                <w:kern w:val="0"/>
                <w:lang w:val="pl-PL" w:eastAsia="en-US" w:bidi="ar-SA"/>
              </w:rPr>
              <w:t>(lista wyboru)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7272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Sposoby dokumentacji</w:t>
            </w:r>
          </w:p>
          <w:p w14:paraId="12E64E51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i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i/>
                <w:kern w:val="0"/>
                <w:lang w:val="pl-PL" w:eastAsia="en-US" w:bidi="ar-SA"/>
              </w:rPr>
              <w:t>(lista wyboru)</w:t>
            </w:r>
          </w:p>
        </w:tc>
      </w:tr>
      <w:tr w:rsidR="009A5A5E" w:rsidRPr="00B305C4" w14:paraId="65750444" w14:textId="77777777" w:rsidTr="001021B0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39E0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WIEDZA</w:t>
            </w:r>
          </w:p>
        </w:tc>
      </w:tr>
      <w:tr w:rsidR="009A5A5E" w:rsidRPr="00B305C4" w14:paraId="79C6E400" w14:textId="77777777" w:rsidTr="001021B0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7FE4" w14:textId="77777777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W_01</w:t>
            </w:r>
          </w:p>
          <w:p w14:paraId="670429D7" w14:textId="77777777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W_02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E096" w14:textId="77777777" w:rsidR="009A5A5E" w:rsidRPr="00B305C4" w:rsidRDefault="009A5A5E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Wykład </w:t>
            </w:r>
          </w:p>
          <w:p w14:paraId="122D6CD6" w14:textId="77777777" w:rsidR="009A5A5E" w:rsidRPr="00B305C4" w:rsidRDefault="009A5A5E" w:rsidP="00B305C4">
            <w:pPr>
              <w:pStyle w:val="Standard"/>
              <w:rPr>
                <w:rFonts w:ascii="Calibri" w:hAnsi="Calibri" w:cs="Calibri"/>
              </w:rPr>
            </w:pPr>
            <w:proofErr w:type="spellStart"/>
            <w:r w:rsidRPr="00B305C4">
              <w:rPr>
                <w:rFonts w:ascii="Calibri" w:hAnsi="Calibri" w:cs="Calibri"/>
              </w:rPr>
              <w:t>Wykład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konwersatoryjny</w:t>
            </w:r>
            <w:proofErr w:type="spellEnd"/>
          </w:p>
          <w:p w14:paraId="25C5F90B" w14:textId="73B505DC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Prezentacja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praca</w:t>
            </w:r>
            <w:proofErr w:type="spellEnd"/>
            <w:r w:rsidRPr="00B305C4">
              <w:rPr>
                <w:rFonts w:ascii="Calibri" w:hAnsi="Calibri" w:cs="Calibri"/>
              </w:rPr>
              <w:t xml:space="preserve"> z </w:t>
            </w:r>
            <w:proofErr w:type="spellStart"/>
            <w:r w:rsidRPr="00B305C4">
              <w:rPr>
                <w:rFonts w:ascii="Calibri" w:hAnsi="Calibri" w:cs="Calibri"/>
              </w:rPr>
              <w:t>tekstem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metody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aktywizujące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A944" w14:textId="77777777" w:rsidR="009A5A5E" w:rsidRPr="00B305C4" w:rsidRDefault="009A5A5E" w:rsidP="00B305C4">
            <w:pPr>
              <w:pStyle w:val="Standard"/>
              <w:rPr>
                <w:rFonts w:ascii="Calibri" w:hAnsi="Calibri" w:cs="Calibri"/>
              </w:rPr>
            </w:pPr>
            <w:proofErr w:type="spellStart"/>
            <w:r w:rsidRPr="00B305C4">
              <w:rPr>
                <w:rFonts w:ascii="Calibri" w:hAnsi="Calibri" w:cs="Calibri"/>
              </w:rPr>
              <w:t>Wykład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Dyskusja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Prace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zaliczeniowe</w:t>
            </w:r>
            <w:proofErr w:type="spellEnd"/>
          </w:p>
          <w:p w14:paraId="36EFEFF7" w14:textId="5AEF5098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Prezentacja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dyskusja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obserwacja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prace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zaliczeniowe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odpowiedź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ustna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AFD2" w14:textId="4113D8C9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Praca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zaliczeniowa</w:t>
            </w:r>
            <w:proofErr w:type="spellEnd"/>
            <w:r w:rsidRPr="00B305C4">
              <w:rPr>
                <w:rFonts w:ascii="Calibri" w:hAnsi="Calibri" w:cs="Calibri"/>
              </w:rPr>
              <w:t xml:space="preserve"> w </w:t>
            </w:r>
            <w:proofErr w:type="spellStart"/>
            <w:r w:rsidRPr="00B305C4">
              <w:rPr>
                <w:rFonts w:ascii="Calibri" w:hAnsi="Calibri" w:cs="Calibri"/>
              </w:rPr>
              <w:t>wersji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elektronicznej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i</w:t>
            </w:r>
            <w:proofErr w:type="spellEnd"/>
            <w:r w:rsidRPr="00B305C4">
              <w:rPr>
                <w:rFonts w:ascii="Calibri" w:hAnsi="Calibri" w:cs="Calibri"/>
              </w:rPr>
              <w:t>/</w:t>
            </w:r>
            <w:proofErr w:type="spellStart"/>
            <w:r w:rsidRPr="00B305C4">
              <w:rPr>
                <w:rFonts w:ascii="Calibri" w:hAnsi="Calibri" w:cs="Calibri"/>
              </w:rPr>
              <w:t>lub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papierowej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Arkusz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oceny</w:t>
            </w:r>
            <w:proofErr w:type="spellEnd"/>
          </w:p>
        </w:tc>
      </w:tr>
      <w:tr w:rsidR="009A5A5E" w:rsidRPr="00B305C4" w14:paraId="6CA69C7F" w14:textId="77777777" w:rsidTr="001021B0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D699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UMIEJĘTNOŚCI</w:t>
            </w:r>
          </w:p>
        </w:tc>
      </w:tr>
      <w:tr w:rsidR="009A5A5E" w:rsidRPr="00B305C4" w14:paraId="4782B9E6" w14:textId="77777777" w:rsidTr="001021B0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AA13" w14:textId="77777777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U_01</w:t>
            </w:r>
          </w:p>
          <w:p w14:paraId="695F7125" w14:textId="77777777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U_02</w:t>
            </w:r>
          </w:p>
          <w:p w14:paraId="17D2AE1B" w14:textId="31705C54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0579" w14:textId="4BE27334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hAnsi="Calibri" w:cs="Calibri"/>
              </w:rPr>
              <w:t xml:space="preserve">Dyskusja, </w:t>
            </w:r>
            <w:proofErr w:type="spellStart"/>
            <w:r w:rsidRPr="00B305C4">
              <w:rPr>
                <w:rFonts w:ascii="Calibri" w:hAnsi="Calibri" w:cs="Calibri"/>
              </w:rPr>
              <w:t>praca</w:t>
            </w:r>
            <w:proofErr w:type="spellEnd"/>
            <w:r w:rsidRPr="00B305C4">
              <w:rPr>
                <w:rFonts w:ascii="Calibri" w:hAnsi="Calibri" w:cs="Calibri"/>
              </w:rPr>
              <w:t xml:space="preserve"> z </w:t>
            </w:r>
            <w:proofErr w:type="spellStart"/>
            <w:r w:rsidRPr="00B305C4">
              <w:rPr>
                <w:rFonts w:ascii="Calibri" w:hAnsi="Calibri" w:cs="Calibri"/>
              </w:rPr>
              <w:t>tekstem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A741" w14:textId="3555BA62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Obserwacja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prezentacja</w:t>
            </w:r>
            <w:proofErr w:type="spellEnd"/>
            <w:r w:rsidRPr="00B305C4">
              <w:rPr>
                <w:rFonts w:ascii="Calibri" w:hAnsi="Calibri" w:cs="Calibri"/>
              </w:rPr>
              <w:t>/</w:t>
            </w:r>
            <w:proofErr w:type="spellStart"/>
            <w:r w:rsidRPr="00B305C4">
              <w:rPr>
                <w:rFonts w:ascii="Calibri" w:hAnsi="Calibri" w:cs="Calibri"/>
              </w:rPr>
              <w:t>referat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6093" w14:textId="5726194E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Praca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zaliczeniowa</w:t>
            </w:r>
            <w:proofErr w:type="spellEnd"/>
            <w:r w:rsidRPr="00B305C4">
              <w:rPr>
                <w:rFonts w:ascii="Calibri" w:hAnsi="Calibri" w:cs="Calibri"/>
              </w:rPr>
              <w:t xml:space="preserve"> w </w:t>
            </w:r>
            <w:proofErr w:type="spellStart"/>
            <w:r w:rsidRPr="00B305C4">
              <w:rPr>
                <w:rFonts w:ascii="Calibri" w:hAnsi="Calibri" w:cs="Calibri"/>
              </w:rPr>
              <w:t>wersji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elektronicznej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i</w:t>
            </w:r>
            <w:proofErr w:type="spellEnd"/>
            <w:r w:rsidRPr="00B305C4">
              <w:rPr>
                <w:rFonts w:ascii="Calibri" w:hAnsi="Calibri" w:cs="Calibri"/>
              </w:rPr>
              <w:t>/</w:t>
            </w:r>
            <w:proofErr w:type="spellStart"/>
            <w:r w:rsidRPr="00B305C4">
              <w:rPr>
                <w:rFonts w:ascii="Calibri" w:hAnsi="Calibri" w:cs="Calibri"/>
              </w:rPr>
              <w:t>lub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papierowej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Arkusz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oceny</w:t>
            </w:r>
            <w:proofErr w:type="spellEnd"/>
          </w:p>
        </w:tc>
      </w:tr>
      <w:tr w:rsidR="009A5A5E" w:rsidRPr="00B305C4" w14:paraId="30768345" w14:textId="77777777" w:rsidTr="001021B0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85DE" w14:textId="77777777" w:rsidR="009A5A5E" w:rsidRPr="00B305C4" w:rsidRDefault="009A5A5E" w:rsidP="00B305C4">
            <w:pPr>
              <w:pStyle w:val="Standard"/>
              <w:jc w:val="center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KOMPETENCJE SPOŁECZNE</w:t>
            </w:r>
          </w:p>
        </w:tc>
      </w:tr>
      <w:tr w:rsidR="009A5A5E" w:rsidRPr="00B305C4" w14:paraId="06CDF984" w14:textId="77777777" w:rsidTr="001021B0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11B5" w14:textId="7FC942EF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lastRenderedPageBreak/>
              <w:t>K_01</w:t>
            </w:r>
          </w:p>
          <w:p w14:paraId="64973076" w14:textId="6719D344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eastAsia="Calibri" w:hAnsi="Calibri" w:cs="Calibri"/>
                <w:kern w:val="0"/>
                <w:lang w:val="pl-PL" w:eastAsia="en-US" w:bidi="ar-SA"/>
              </w:rPr>
              <w:t>K_02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085E" w14:textId="64BB1822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r w:rsidRPr="00B305C4">
              <w:rPr>
                <w:rFonts w:ascii="Calibri" w:hAnsi="Calibri" w:cs="Calibri"/>
              </w:rPr>
              <w:t xml:space="preserve">Dyskusja, </w:t>
            </w:r>
            <w:proofErr w:type="spellStart"/>
            <w:r w:rsidRPr="00B305C4">
              <w:rPr>
                <w:rFonts w:ascii="Calibri" w:hAnsi="Calibri" w:cs="Calibri"/>
              </w:rPr>
              <w:t>praca</w:t>
            </w:r>
            <w:proofErr w:type="spellEnd"/>
            <w:r w:rsidRPr="00B305C4">
              <w:rPr>
                <w:rFonts w:ascii="Calibri" w:hAnsi="Calibri" w:cs="Calibri"/>
              </w:rPr>
              <w:t xml:space="preserve"> z </w:t>
            </w:r>
            <w:proofErr w:type="spellStart"/>
            <w:r w:rsidRPr="00B305C4">
              <w:rPr>
                <w:rFonts w:ascii="Calibri" w:hAnsi="Calibri" w:cs="Calibri"/>
              </w:rPr>
              <w:t>tekstem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CE65" w14:textId="54B28900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Obserwacja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prezentacja</w:t>
            </w:r>
            <w:proofErr w:type="spellEnd"/>
            <w:r w:rsidRPr="00B305C4">
              <w:rPr>
                <w:rFonts w:ascii="Calibri" w:hAnsi="Calibri" w:cs="Calibri"/>
              </w:rPr>
              <w:t>/</w:t>
            </w:r>
            <w:proofErr w:type="spellStart"/>
            <w:r w:rsidRPr="00B305C4">
              <w:rPr>
                <w:rFonts w:ascii="Calibri" w:hAnsi="Calibri" w:cs="Calibri"/>
              </w:rPr>
              <w:t>referat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E722" w14:textId="416AF1CE" w:rsidR="009A5A5E" w:rsidRPr="00B305C4" w:rsidRDefault="009A5A5E" w:rsidP="00B305C4">
            <w:pPr>
              <w:pStyle w:val="Standard"/>
              <w:rPr>
                <w:rFonts w:ascii="Calibri" w:eastAsia="Calibri" w:hAnsi="Calibri" w:cs="Calibri"/>
                <w:kern w:val="0"/>
                <w:lang w:val="pl-PL" w:eastAsia="en-US" w:bidi="ar-SA"/>
              </w:rPr>
            </w:pPr>
            <w:proofErr w:type="spellStart"/>
            <w:r w:rsidRPr="00B305C4">
              <w:rPr>
                <w:rFonts w:ascii="Calibri" w:hAnsi="Calibri" w:cs="Calibri"/>
              </w:rPr>
              <w:t>Praca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zaliczeniowa</w:t>
            </w:r>
            <w:proofErr w:type="spellEnd"/>
            <w:r w:rsidRPr="00B305C4">
              <w:rPr>
                <w:rFonts w:ascii="Calibri" w:hAnsi="Calibri" w:cs="Calibri"/>
              </w:rPr>
              <w:t xml:space="preserve"> w </w:t>
            </w:r>
            <w:proofErr w:type="spellStart"/>
            <w:r w:rsidRPr="00B305C4">
              <w:rPr>
                <w:rFonts w:ascii="Calibri" w:hAnsi="Calibri" w:cs="Calibri"/>
              </w:rPr>
              <w:t>wersji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elektronicznej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i</w:t>
            </w:r>
            <w:proofErr w:type="spellEnd"/>
            <w:r w:rsidRPr="00B305C4">
              <w:rPr>
                <w:rFonts w:ascii="Calibri" w:hAnsi="Calibri" w:cs="Calibri"/>
              </w:rPr>
              <w:t>/</w:t>
            </w:r>
            <w:proofErr w:type="spellStart"/>
            <w:r w:rsidRPr="00B305C4">
              <w:rPr>
                <w:rFonts w:ascii="Calibri" w:hAnsi="Calibri" w:cs="Calibri"/>
              </w:rPr>
              <w:t>lub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papierowej</w:t>
            </w:r>
            <w:proofErr w:type="spellEnd"/>
            <w:r w:rsidRPr="00B305C4">
              <w:rPr>
                <w:rFonts w:ascii="Calibri" w:hAnsi="Calibri" w:cs="Calibri"/>
              </w:rPr>
              <w:t xml:space="preserve">, </w:t>
            </w:r>
            <w:proofErr w:type="spellStart"/>
            <w:r w:rsidRPr="00B305C4">
              <w:rPr>
                <w:rFonts w:ascii="Calibri" w:hAnsi="Calibri" w:cs="Calibri"/>
              </w:rPr>
              <w:t>Arkusz</w:t>
            </w:r>
            <w:proofErr w:type="spellEnd"/>
            <w:r w:rsidRPr="00B305C4">
              <w:rPr>
                <w:rFonts w:ascii="Calibri" w:hAnsi="Calibri" w:cs="Calibri"/>
              </w:rPr>
              <w:t xml:space="preserve"> </w:t>
            </w:r>
            <w:proofErr w:type="spellStart"/>
            <w:r w:rsidRPr="00B305C4">
              <w:rPr>
                <w:rFonts w:ascii="Calibri" w:hAnsi="Calibri" w:cs="Calibri"/>
              </w:rPr>
              <w:t>oceny</w:t>
            </w:r>
            <w:proofErr w:type="spellEnd"/>
          </w:p>
        </w:tc>
      </w:tr>
    </w:tbl>
    <w:p w14:paraId="26EA0197" w14:textId="77777777" w:rsidR="009A5A5E" w:rsidRPr="00B305C4" w:rsidRDefault="009A5A5E" w:rsidP="00B305C4">
      <w:pPr>
        <w:pStyle w:val="Standard"/>
        <w:rPr>
          <w:rFonts w:ascii="Calibri" w:hAnsi="Calibri" w:cs="Calibri"/>
        </w:rPr>
      </w:pPr>
    </w:p>
    <w:p w14:paraId="7A4BC004" w14:textId="77777777" w:rsidR="009A5A5E" w:rsidRPr="00B305C4" w:rsidRDefault="009A5A5E" w:rsidP="00B305C4">
      <w:pPr>
        <w:pStyle w:val="Akapitzlist"/>
        <w:spacing w:after="0"/>
        <w:ind w:left="1080"/>
        <w:rPr>
          <w:rFonts w:cs="Calibri"/>
          <w:b/>
          <w:sz w:val="24"/>
          <w:szCs w:val="24"/>
        </w:rPr>
      </w:pPr>
    </w:p>
    <w:p w14:paraId="07921170" w14:textId="77777777" w:rsidR="009A5A5E" w:rsidRPr="00B305C4" w:rsidRDefault="009A5A5E" w:rsidP="00B305C4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635A29BE" w14:textId="77777777" w:rsidR="00962084" w:rsidRDefault="00000000" w:rsidP="00B305C4">
      <w:pPr>
        <w:pStyle w:val="Akapitzlist"/>
        <w:numPr>
          <w:ilvl w:val="0"/>
          <w:numId w:val="6"/>
        </w:numPr>
        <w:spacing w:after="0"/>
        <w:rPr>
          <w:rFonts w:cs="Calibri"/>
          <w:b/>
          <w:bCs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>Kryteria oceny, wagi…</w:t>
      </w:r>
    </w:p>
    <w:p w14:paraId="70E6EFBB" w14:textId="33391934" w:rsidR="00B305C4" w:rsidRDefault="00B305C4" w:rsidP="00B305C4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Wykład- egzamin</w:t>
      </w:r>
    </w:p>
    <w:p w14:paraId="075B7758" w14:textId="00B60947" w:rsidR="00B305C4" w:rsidRDefault="00B305C4" w:rsidP="00B305C4"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Konwersatorium:</w:t>
      </w:r>
    </w:p>
    <w:p w14:paraId="12338A15" w14:textId="1C0DD9BC" w:rsidR="00B305C4" w:rsidRDefault="00B305C4" w:rsidP="00B305C4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Aktywność na zajęciach – 20%</w:t>
      </w:r>
    </w:p>
    <w:p w14:paraId="315FDF89" w14:textId="2DF760C0" w:rsidR="00B305C4" w:rsidRDefault="00B305C4" w:rsidP="00B305C4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Prace zaliczeniowe – 40%</w:t>
      </w:r>
    </w:p>
    <w:p w14:paraId="7F4FDD06" w14:textId="6CB057BC" w:rsidR="00B305C4" w:rsidRPr="00B305C4" w:rsidRDefault="00B305C4" w:rsidP="00B305C4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Prezentacje – 40%</w:t>
      </w:r>
    </w:p>
    <w:tbl>
      <w:tblPr>
        <w:tblW w:w="921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2336"/>
        <w:gridCol w:w="4461"/>
      </w:tblGrid>
      <w:tr w:rsidR="009A5A5E" w:rsidRPr="00B305C4" w14:paraId="29A2F2E3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29BF" w14:textId="77777777" w:rsidR="009A5A5E" w:rsidRPr="00B305C4" w:rsidRDefault="009A5A5E" w:rsidP="00B305C4">
            <w:pPr>
              <w:spacing w:after="0"/>
              <w:ind w:left="720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6A49" w14:textId="77777777" w:rsidR="009A5A5E" w:rsidRPr="00B305C4" w:rsidRDefault="009A5A5E" w:rsidP="00B305C4">
            <w:pPr>
              <w:spacing w:after="0"/>
              <w:ind w:left="720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373EC" w14:textId="77777777" w:rsidR="009A5A5E" w:rsidRPr="00B305C4" w:rsidRDefault="009A5A5E" w:rsidP="00B305C4">
            <w:pPr>
              <w:spacing w:after="0"/>
              <w:ind w:left="720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9A5A5E" w:rsidRPr="00B305C4" w14:paraId="0CB2EC18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CB33F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56E58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91–100%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2CEA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 xml:space="preserve">Student wykazuje pełne i twórcze opanowanie treści przedmiotu. Samodzielnie analizuje i rozwiązuje problemy z wykorzystaniem wiedzy przedmiotowej, </w:t>
            </w:r>
            <w:bookmarkStart w:id="0" w:name="__DdeLink__3627_1841180835"/>
            <w:r w:rsidRPr="00B305C4">
              <w:rPr>
                <w:rFonts w:cs="Calibri"/>
                <w:bCs/>
                <w:sz w:val="24"/>
                <w:szCs w:val="24"/>
              </w:rPr>
              <w:t>formułuje trafne i twórcze wnioski i refleksje pedagogiczne</w:t>
            </w:r>
            <w:bookmarkEnd w:id="0"/>
            <w:r w:rsidRPr="00B305C4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  <w:tr w:rsidR="009A5A5E" w:rsidRPr="00B305C4" w14:paraId="68DEF8B0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81B73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F69A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81–90%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3409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9A5A5E" w:rsidRPr="00B305C4" w14:paraId="03B10F00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6A5A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7E68C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71–80%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5943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9A5A5E" w:rsidRPr="00B305C4" w14:paraId="6B0BDA81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91432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878D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61–70%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E757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9A5A5E" w:rsidRPr="00B305C4" w14:paraId="15B59412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8844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66DB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51–60%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8A458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 xml:space="preserve">Student posiada minimalny zakres wiedzy niezbędny do zaliczenia przedmiotu; w minimalnym stopniu potrafi zastosować wiedzę </w:t>
            </w:r>
            <w:r w:rsidRPr="00B305C4">
              <w:rPr>
                <w:rFonts w:cs="Calibri"/>
                <w:bCs/>
                <w:sz w:val="24"/>
                <w:szCs w:val="24"/>
              </w:rPr>
              <w:lastRenderedPageBreak/>
              <w:t>przedmiotową w analizie  problemów pedagogicznych; popełnia  błędy interpretacyjne.</w:t>
            </w:r>
          </w:p>
        </w:tc>
      </w:tr>
      <w:tr w:rsidR="009A5A5E" w:rsidRPr="00B305C4" w14:paraId="17CDEF99" w14:textId="77777777" w:rsidTr="001021B0"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30AE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lastRenderedPageBreak/>
              <w:t>2,0 (niedostateczny)</w:t>
            </w:r>
          </w:p>
        </w:tc>
        <w:tc>
          <w:tcPr>
            <w:tcW w:w="23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819E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0–50%</w:t>
            </w:r>
          </w:p>
        </w:tc>
        <w:tc>
          <w:tcPr>
            <w:tcW w:w="4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F4E5C" w14:textId="77777777" w:rsidR="009A5A5E" w:rsidRPr="00B305C4" w:rsidRDefault="009A5A5E" w:rsidP="00B305C4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Cs/>
                <w:sz w:val="24"/>
                <w:szCs w:val="24"/>
              </w:rPr>
              <w:t>Student nie opanował podstawowych treści, nie potrafi zastosować wiedzy przedmiotowej w analizie  problemów pedagogicznych.</w:t>
            </w:r>
          </w:p>
        </w:tc>
      </w:tr>
    </w:tbl>
    <w:p w14:paraId="526D81B2" w14:textId="77777777" w:rsidR="009A5A5E" w:rsidRPr="00B305C4" w:rsidRDefault="009A5A5E" w:rsidP="00B305C4">
      <w:pPr>
        <w:pStyle w:val="Standard"/>
        <w:rPr>
          <w:rFonts w:ascii="Calibri" w:hAnsi="Calibri" w:cs="Calibri"/>
        </w:rPr>
      </w:pPr>
    </w:p>
    <w:p w14:paraId="1871DD15" w14:textId="77777777" w:rsidR="009A5A5E" w:rsidRPr="00B305C4" w:rsidRDefault="009A5A5E" w:rsidP="00B305C4">
      <w:pPr>
        <w:pStyle w:val="Akapitzlist"/>
        <w:spacing w:after="0"/>
        <w:ind w:left="1080"/>
        <w:rPr>
          <w:rFonts w:cs="Calibri"/>
          <w:b/>
          <w:bCs/>
          <w:sz w:val="24"/>
          <w:szCs w:val="24"/>
        </w:rPr>
      </w:pPr>
    </w:p>
    <w:p w14:paraId="504E8AF6" w14:textId="77777777" w:rsidR="00962084" w:rsidRPr="00B305C4" w:rsidRDefault="00000000" w:rsidP="00B305C4">
      <w:pPr>
        <w:pStyle w:val="Akapitzlist"/>
        <w:spacing w:after="0"/>
        <w:ind w:left="1080"/>
        <w:rPr>
          <w:rFonts w:cs="Calibri"/>
          <w:sz w:val="24"/>
          <w:szCs w:val="24"/>
        </w:rPr>
      </w:pPr>
      <w:r w:rsidRPr="00B305C4">
        <w:rPr>
          <w:rFonts w:cs="Calibri"/>
          <w:b/>
          <w:bCs/>
          <w:sz w:val="24"/>
          <w:szCs w:val="24"/>
        </w:rPr>
        <w:t>VII. Obciążenie pracą studenta</w:t>
      </w:r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962084" w:rsidRPr="00B305C4" w14:paraId="2CED6276" w14:textId="77777777">
        <w:trPr>
          <w:trHeight w:val="2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EDE2" w14:textId="77777777" w:rsidR="00962084" w:rsidRPr="00B305C4" w:rsidRDefault="00000000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F43B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Liczba godzin</w:t>
            </w:r>
          </w:p>
        </w:tc>
      </w:tr>
      <w:tr w:rsidR="00962084" w:rsidRPr="00B305C4" w14:paraId="7697B9A7" w14:textId="77777777">
        <w:trPr>
          <w:trHeight w:val="49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958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B98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30</w:t>
            </w:r>
          </w:p>
        </w:tc>
      </w:tr>
      <w:tr w:rsidR="00962084" w:rsidRPr="00B305C4" w14:paraId="17EE3724" w14:textId="77777777">
        <w:trPr>
          <w:trHeight w:val="49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27CA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Liczba godzin indywidualnej pracy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4E6B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B305C4">
              <w:rPr>
                <w:rFonts w:cs="Calibri"/>
                <w:b/>
                <w:bCs/>
                <w:sz w:val="24"/>
                <w:szCs w:val="24"/>
              </w:rPr>
              <w:t>30</w:t>
            </w:r>
          </w:p>
        </w:tc>
      </w:tr>
    </w:tbl>
    <w:p w14:paraId="28C61282" w14:textId="77777777" w:rsidR="00962084" w:rsidRPr="00B305C4" w:rsidRDefault="00962084" w:rsidP="00B305C4">
      <w:pPr>
        <w:pStyle w:val="Akapitzlist"/>
        <w:widowControl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1C0C211" w14:textId="77777777" w:rsidR="00962084" w:rsidRPr="00B305C4" w:rsidRDefault="00000000" w:rsidP="00B305C4">
      <w:pPr>
        <w:pStyle w:val="Akapitzlist"/>
        <w:numPr>
          <w:ilvl w:val="0"/>
          <w:numId w:val="7"/>
        </w:numPr>
        <w:spacing w:after="0"/>
        <w:rPr>
          <w:rFonts w:cs="Calibri"/>
          <w:b/>
          <w:bCs/>
          <w:sz w:val="24"/>
          <w:szCs w:val="24"/>
          <w:lang w:val="de-DE"/>
        </w:rPr>
      </w:pPr>
      <w:proofErr w:type="spellStart"/>
      <w:r w:rsidRPr="00B305C4">
        <w:rPr>
          <w:rFonts w:cs="Calibri"/>
          <w:b/>
          <w:bCs/>
          <w:sz w:val="24"/>
          <w:szCs w:val="24"/>
          <w:lang w:val="de-DE"/>
        </w:rPr>
        <w:t>Literatura</w:t>
      </w:r>
      <w:proofErr w:type="spellEnd"/>
    </w:p>
    <w:tbl>
      <w:tblPr>
        <w:tblStyle w:val="TableNormal"/>
        <w:tblW w:w="921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212"/>
      </w:tblGrid>
      <w:tr w:rsidR="00962084" w:rsidRPr="00B305C4" w14:paraId="79302A88" w14:textId="77777777">
        <w:trPr>
          <w:trHeight w:val="27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F2E5" w14:textId="77777777" w:rsidR="00962084" w:rsidRPr="00B305C4" w:rsidRDefault="00000000" w:rsidP="00B305C4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Literatura podstawowa</w:t>
            </w:r>
          </w:p>
        </w:tc>
      </w:tr>
      <w:tr w:rsidR="00962084" w:rsidRPr="00B305C4" w14:paraId="313C2F94" w14:textId="77777777">
        <w:trPr>
          <w:trHeight w:val="131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A09C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Cierpka A. (2002). Tożsamość jednostki wśród rodzinnych narracji. W: J. Trzebiński (red.) Narracja jako sposób rozumienia świata (s.173-189). Gdańsk: GWP. </w:t>
            </w:r>
          </w:p>
          <w:p w14:paraId="760A6E97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Grzelak M.,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Jarymowicz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M. (2003). Tożsamość i współzależność. W: J.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Strelau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(red.). Psychologia. Podręcznik akademicki (T.3 s. 107-144). Gdańsk: GWP.</w:t>
            </w:r>
          </w:p>
          <w:p w14:paraId="0941829B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Miluska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J. (1996).  Tożsamość kobiet i mężczyzn w cyklu życia. Poznań: WN UAM.</w:t>
            </w:r>
          </w:p>
        </w:tc>
      </w:tr>
      <w:tr w:rsidR="00962084" w:rsidRPr="00B305C4" w14:paraId="50013352" w14:textId="77777777">
        <w:trPr>
          <w:trHeight w:val="27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0E3D" w14:textId="77777777" w:rsidR="00962084" w:rsidRPr="00B305C4" w:rsidRDefault="00000000" w:rsidP="00B305C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Literatura uzupełniająca:</w:t>
            </w:r>
          </w:p>
        </w:tc>
      </w:tr>
      <w:tr w:rsidR="00962084" w:rsidRPr="00B305C4" w14:paraId="33D86009" w14:textId="77777777">
        <w:trPr>
          <w:trHeight w:val="31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FB0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Mandal E. (2003). Kobiecość i męskość. Popularne opinie a badania naukowe. Warszawa: </w:t>
            </w:r>
          </w:p>
          <w:p w14:paraId="6D6D070A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Wydawnictwo Akademickie „Żak”.</w:t>
            </w:r>
          </w:p>
          <w:p w14:paraId="0AB3FE40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Marcia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J. (1980). Identity in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adolescence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. In: J.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Adelson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(ed.),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Handbook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of adolescent </w:t>
            </w:r>
          </w:p>
          <w:p w14:paraId="362D9B37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psychology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.   New York: John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Wiley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and Sons.</w:t>
            </w:r>
          </w:p>
          <w:p w14:paraId="0EA86F24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Melosik Z. (2001). Kultura instant – paradoksy pop-tożsamości. W: A.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Nalaskowski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>, K. Rubacha  (red.) Pedagogika u progu trzeciego tysiąclecia. Toruń: Wydawnictwo UMK.</w:t>
            </w:r>
          </w:p>
          <w:p w14:paraId="6EBC699A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 xml:space="preserve">Oleś P.K., A. Batora, E. </w:t>
            </w:r>
            <w:proofErr w:type="spellStart"/>
            <w:r w:rsidRPr="00B305C4">
              <w:rPr>
                <w:rFonts w:cs="Calibri"/>
                <w:sz w:val="24"/>
                <w:szCs w:val="24"/>
              </w:rPr>
              <w:t>Brygała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(2016). Odsłony tożsamości. Warszawa: Wydawnictwo </w:t>
            </w:r>
          </w:p>
          <w:p w14:paraId="4D2C3B9F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305C4">
              <w:rPr>
                <w:rFonts w:cs="Calibri"/>
                <w:sz w:val="24"/>
                <w:szCs w:val="24"/>
              </w:rPr>
              <w:t>Naukowe PWN.</w:t>
            </w:r>
          </w:p>
          <w:p w14:paraId="34F81436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Opozda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D. (2007). Wychowawcza funkcja rodziców w rozwoju tożsamości młodzieży. Przegląd Pedagogiczny nr 1, (49-57).</w:t>
            </w:r>
          </w:p>
          <w:p w14:paraId="2C2C201A" w14:textId="77777777" w:rsidR="00962084" w:rsidRPr="00B305C4" w:rsidRDefault="00000000" w:rsidP="00B305C4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B305C4">
              <w:rPr>
                <w:rFonts w:cs="Calibri"/>
                <w:sz w:val="24"/>
                <w:szCs w:val="24"/>
              </w:rPr>
              <w:t>Opozda</w:t>
            </w:r>
            <w:proofErr w:type="spellEnd"/>
            <w:r w:rsidRPr="00B305C4">
              <w:rPr>
                <w:rFonts w:cs="Calibri"/>
                <w:sz w:val="24"/>
                <w:szCs w:val="24"/>
              </w:rPr>
              <w:t xml:space="preserve"> D. (2012). Struktura i treść jednostkowej wiedzy o wychowaniu. Studium pedagogiczne wiedzy rodziców i jej korelatów. Lublin: TN KUL, s. 115-136, 270-301.</w:t>
            </w:r>
          </w:p>
        </w:tc>
      </w:tr>
    </w:tbl>
    <w:p w14:paraId="0EE903E7" w14:textId="77777777" w:rsidR="00962084" w:rsidRPr="00B305C4" w:rsidRDefault="00962084" w:rsidP="00B305C4">
      <w:pPr>
        <w:pStyle w:val="Akapitzlist"/>
        <w:widowControl w:val="0"/>
        <w:spacing w:after="0" w:line="240" w:lineRule="auto"/>
        <w:ind w:left="1800"/>
        <w:rPr>
          <w:rFonts w:cs="Calibri"/>
          <w:sz w:val="24"/>
          <w:szCs w:val="24"/>
        </w:rPr>
      </w:pPr>
    </w:p>
    <w:sectPr w:rsidR="00962084" w:rsidRPr="00B305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21CA" w14:textId="77777777" w:rsidR="004077F8" w:rsidRDefault="004077F8">
      <w:pPr>
        <w:spacing w:after="0" w:line="240" w:lineRule="auto"/>
      </w:pPr>
      <w:r>
        <w:separator/>
      </w:r>
    </w:p>
  </w:endnote>
  <w:endnote w:type="continuationSeparator" w:id="0">
    <w:p w14:paraId="300FA8A4" w14:textId="77777777" w:rsidR="004077F8" w:rsidRDefault="0040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4EF" w14:textId="77777777" w:rsidR="00962084" w:rsidRDefault="0096208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56B5" w14:textId="77777777" w:rsidR="004077F8" w:rsidRDefault="004077F8">
      <w:pPr>
        <w:spacing w:after="0" w:line="240" w:lineRule="auto"/>
      </w:pPr>
      <w:r>
        <w:separator/>
      </w:r>
    </w:p>
  </w:footnote>
  <w:footnote w:type="continuationSeparator" w:id="0">
    <w:p w14:paraId="72C43269" w14:textId="77777777" w:rsidR="004077F8" w:rsidRDefault="0040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E13A" w14:textId="77777777" w:rsidR="00962084" w:rsidRDefault="00000000">
    <w:pPr>
      <w:pStyle w:val="Nagwek"/>
      <w:tabs>
        <w:tab w:val="clear" w:pos="9072"/>
        <w:tab w:val="right" w:pos="9046"/>
      </w:tabs>
      <w:jc w:val="right"/>
    </w:pPr>
    <w:r>
      <w:rPr>
        <w:i/>
        <w:iCs/>
      </w:rPr>
      <w:t>Załącznik nr 5 do dokumentacji programowej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BF6"/>
    <w:multiLevelType w:val="multilevel"/>
    <w:tmpl w:val="23C468A6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053B5A82"/>
    <w:multiLevelType w:val="multilevel"/>
    <w:tmpl w:val="013462C6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2" w15:restartNumberingAfterBreak="0">
    <w:nsid w:val="0AAF150E"/>
    <w:multiLevelType w:val="multilevel"/>
    <w:tmpl w:val="EDA2FD0E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12AF6E0E"/>
    <w:multiLevelType w:val="multilevel"/>
    <w:tmpl w:val="D1C88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F53DBA"/>
    <w:multiLevelType w:val="multilevel"/>
    <w:tmpl w:val="7BEC97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 w15:restartNumberingAfterBreak="0">
    <w:nsid w:val="41785DC3"/>
    <w:multiLevelType w:val="multilevel"/>
    <w:tmpl w:val="AEAEBCCE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61D737D2"/>
    <w:multiLevelType w:val="multilevel"/>
    <w:tmpl w:val="660EB018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7" w15:restartNumberingAfterBreak="0">
    <w:nsid w:val="6A685853"/>
    <w:multiLevelType w:val="multilevel"/>
    <w:tmpl w:val="667C0710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79D7054A"/>
    <w:multiLevelType w:val="multilevel"/>
    <w:tmpl w:val="10DAC77C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7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9" w15:restartNumberingAfterBreak="0">
    <w:nsid w:val="7F7E698A"/>
    <w:multiLevelType w:val="multilevel"/>
    <w:tmpl w:val="5AFCEF4C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88759">
    <w:abstractNumId w:val="4"/>
  </w:num>
  <w:num w:numId="2" w16cid:durableId="115415224">
    <w:abstractNumId w:val="6"/>
  </w:num>
  <w:num w:numId="3" w16cid:durableId="29453347">
    <w:abstractNumId w:val="1"/>
  </w:num>
  <w:num w:numId="4" w16cid:durableId="1914050836">
    <w:abstractNumId w:val="8"/>
  </w:num>
  <w:num w:numId="5" w16cid:durableId="974258482">
    <w:abstractNumId w:val="7"/>
  </w:num>
  <w:num w:numId="6" w16cid:durableId="1499728194">
    <w:abstractNumId w:val="0"/>
  </w:num>
  <w:num w:numId="7" w16cid:durableId="706831126">
    <w:abstractNumId w:val="2"/>
  </w:num>
  <w:num w:numId="8" w16cid:durableId="1427575470">
    <w:abstractNumId w:val="3"/>
  </w:num>
  <w:num w:numId="9" w16cid:durableId="1803183866">
    <w:abstractNumId w:val="9"/>
  </w:num>
  <w:num w:numId="10" w16cid:durableId="1641110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84"/>
    <w:rsid w:val="004077F8"/>
    <w:rsid w:val="00504FC0"/>
    <w:rsid w:val="00586CDD"/>
    <w:rsid w:val="0073052A"/>
    <w:rsid w:val="009434C5"/>
    <w:rsid w:val="00962084"/>
    <w:rsid w:val="009A5A5E"/>
    <w:rsid w:val="00AC3234"/>
    <w:rsid w:val="00B305C4"/>
    <w:rsid w:val="00E774D0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6AC0"/>
  <w15:docId w15:val="{5E302727-FC40-4C3D-B817-F118751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 w:color="FFFFFF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  <w:suppressAutoHyphens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  <w:suppressAutoHyphens w:val="0"/>
    </w:pPr>
    <w:rPr>
      <w:rFonts w:ascii="Helvetica" w:eastAsia="Helvetica" w:hAnsi="Helvetica" w:cs="Helvetica"/>
      <w:color w:val="000000"/>
      <w:sz w:val="24"/>
      <w:szCs w:val="24"/>
      <w:u w:color="FFFFFF"/>
    </w:rPr>
  </w:style>
  <w:style w:type="paragraph" w:styleId="Akapitzlist">
    <w:name w:val="List Paragraph"/>
    <w:qFormat/>
    <w:pPr>
      <w:suppressAutoHyphens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Gwkaistopka"/>
  </w:style>
  <w:style w:type="numbering" w:customStyle="1" w:styleId="Zaimportowanystyl1">
    <w:name w:val="Zaimportowany styl 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A5A5E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/>
    </w:rPr>
  </w:style>
  <w:style w:type="numbering" w:customStyle="1" w:styleId="WWNum1">
    <w:name w:val="WWNum1"/>
    <w:basedOn w:val="Bezlisty"/>
    <w:rsid w:val="009A5A5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42E61-133E-4DF4-A7A2-20FF41997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552C0F-481C-4D52-8C5C-849C06B0C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1B1F0-09CE-4AFE-91AF-501D74635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1030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Parzyszek</dc:creator>
  <dc:description/>
  <cp:lastModifiedBy>Katarzyna Braun</cp:lastModifiedBy>
  <cp:revision>2</cp:revision>
  <dcterms:created xsi:type="dcterms:W3CDTF">2026-03-01T08:05:00Z</dcterms:created>
  <dcterms:modified xsi:type="dcterms:W3CDTF">2026-03-01T08:05:00Z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