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697F" w14:textId="77777777" w:rsidR="00AD4992" w:rsidRPr="006C65D2" w:rsidRDefault="00000000">
      <w:p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 xml:space="preserve">KARTA PRZEDMIOTU </w:t>
      </w:r>
    </w:p>
    <w:p w14:paraId="6E4B051A" w14:textId="77777777" w:rsidR="00AD4992" w:rsidRPr="006C65D2" w:rsidRDefault="00AD4992">
      <w:pPr>
        <w:rPr>
          <w:rFonts w:cstheme="minorHAnsi"/>
          <w:b/>
          <w:sz w:val="24"/>
          <w:szCs w:val="24"/>
        </w:rPr>
      </w:pPr>
    </w:p>
    <w:p w14:paraId="4F0F99BA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4"/>
        <w:gridCol w:w="4528"/>
      </w:tblGrid>
      <w:tr w:rsidR="00AD4992" w:rsidRPr="006C65D2" w14:paraId="3B2CC9FE" w14:textId="77777777">
        <w:tc>
          <w:tcPr>
            <w:tcW w:w="4533" w:type="dxa"/>
          </w:tcPr>
          <w:p w14:paraId="248941F9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Nazwa przedmiotu</w:t>
            </w:r>
          </w:p>
        </w:tc>
        <w:tc>
          <w:tcPr>
            <w:tcW w:w="4528" w:type="dxa"/>
          </w:tcPr>
          <w:p w14:paraId="40B4B949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Praca socjalna i gerontologia społeczna</w:t>
            </w:r>
          </w:p>
          <w:p w14:paraId="7034F876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(ćwiczenia) </w:t>
            </w:r>
          </w:p>
        </w:tc>
      </w:tr>
      <w:tr w:rsidR="00AD4992" w:rsidRPr="006C65D2" w14:paraId="42963AA4" w14:textId="77777777">
        <w:tc>
          <w:tcPr>
            <w:tcW w:w="4533" w:type="dxa"/>
          </w:tcPr>
          <w:p w14:paraId="404DEA51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528" w:type="dxa"/>
          </w:tcPr>
          <w:p w14:paraId="0823057D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  <w:lang w:val="en-US"/>
              </w:rPr>
              <w:t>Social work and social gerontology</w:t>
            </w:r>
          </w:p>
        </w:tc>
      </w:tr>
      <w:tr w:rsidR="00AD4992" w:rsidRPr="006C65D2" w14:paraId="6A40E4D6" w14:textId="77777777">
        <w:tc>
          <w:tcPr>
            <w:tcW w:w="4533" w:type="dxa"/>
          </w:tcPr>
          <w:p w14:paraId="18548231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528" w:type="dxa"/>
          </w:tcPr>
          <w:p w14:paraId="7D1358C1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Pedagogika</w:t>
            </w:r>
          </w:p>
        </w:tc>
      </w:tr>
      <w:tr w:rsidR="00AD4992" w:rsidRPr="006C65D2" w14:paraId="0A36FE63" w14:textId="77777777">
        <w:tc>
          <w:tcPr>
            <w:tcW w:w="4533" w:type="dxa"/>
          </w:tcPr>
          <w:p w14:paraId="5697E857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528" w:type="dxa"/>
          </w:tcPr>
          <w:p w14:paraId="1CB94273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AD4992" w:rsidRPr="006C65D2" w14:paraId="5E1DEB20" w14:textId="77777777">
        <w:tc>
          <w:tcPr>
            <w:tcW w:w="4533" w:type="dxa"/>
          </w:tcPr>
          <w:p w14:paraId="7AC9CFD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528" w:type="dxa"/>
          </w:tcPr>
          <w:p w14:paraId="2B36531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AD4992" w:rsidRPr="006C65D2" w14:paraId="5BA19B5A" w14:textId="77777777">
        <w:tc>
          <w:tcPr>
            <w:tcW w:w="4533" w:type="dxa"/>
          </w:tcPr>
          <w:p w14:paraId="3CD201B1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Dyscyplina</w:t>
            </w:r>
          </w:p>
        </w:tc>
        <w:tc>
          <w:tcPr>
            <w:tcW w:w="4528" w:type="dxa"/>
          </w:tcPr>
          <w:p w14:paraId="5F97BFB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pedagogika</w:t>
            </w:r>
          </w:p>
        </w:tc>
      </w:tr>
      <w:tr w:rsidR="00AD4992" w:rsidRPr="006C65D2" w14:paraId="302BCFA3" w14:textId="77777777">
        <w:tc>
          <w:tcPr>
            <w:tcW w:w="4533" w:type="dxa"/>
          </w:tcPr>
          <w:p w14:paraId="61D1B26C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Język wykładowy</w:t>
            </w:r>
          </w:p>
        </w:tc>
        <w:tc>
          <w:tcPr>
            <w:tcW w:w="4528" w:type="dxa"/>
          </w:tcPr>
          <w:p w14:paraId="44B6B433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Język polski</w:t>
            </w:r>
          </w:p>
        </w:tc>
      </w:tr>
    </w:tbl>
    <w:p w14:paraId="1BC96227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1"/>
        <w:gridCol w:w="4521"/>
      </w:tblGrid>
      <w:tr w:rsidR="00AD4992" w:rsidRPr="006C65D2" w14:paraId="3640376B" w14:textId="77777777">
        <w:tc>
          <w:tcPr>
            <w:tcW w:w="4540" w:type="dxa"/>
          </w:tcPr>
          <w:p w14:paraId="17C7460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521" w:type="dxa"/>
          </w:tcPr>
          <w:p w14:paraId="52D5C4B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dr Katarzyna Braun</w:t>
            </w:r>
          </w:p>
          <w:p w14:paraId="6DE99D30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89ADCCF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5"/>
        <w:gridCol w:w="2257"/>
        <w:gridCol w:w="2260"/>
        <w:gridCol w:w="2260"/>
      </w:tblGrid>
      <w:tr w:rsidR="00AD4992" w:rsidRPr="006C65D2" w14:paraId="2275BB9F" w14:textId="77777777">
        <w:tc>
          <w:tcPr>
            <w:tcW w:w="2284" w:type="dxa"/>
          </w:tcPr>
          <w:p w14:paraId="4815E257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Forma zajęć </w:t>
            </w:r>
            <w:r w:rsidRPr="006C65D2">
              <w:rPr>
                <w:rFonts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257" w:type="dxa"/>
          </w:tcPr>
          <w:p w14:paraId="0A990817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Liczba godzin</w:t>
            </w:r>
          </w:p>
        </w:tc>
        <w:tc>
          <w:tcPr>
            <w:tcW w:w="2260" w:type="dxa"/>
          </w:tcPr>
          <w:p w14:paraId="2BD7FDB9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semestr</w:t>
            </w:r>
          </w:p>
        </w:tc>
        <w:tc>
          <w:tcPr>
            <w:tcW w:w="2260" w:type="dxa"/>
          </w:tcPr>
          <w:p w14:paraId="182D71DC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Punkty ECTS</w:t>
            </w:r>
          </w:p>
        </w:tc>
      </w:tr>
      <w:tr w:rsidR="00AD4992" w:rsidRPr="006C65D2" w14:paraId="1C43D06A" w14:textId="77777777">
        <w:tc>
          <w:tcPr>
            <w:tcW w:w="2284" w:type="dxa"/>
          </w:tcPr>
          <w:p w14:paraId="19AB8D2B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wykład</w:t>
            </w:r>
          </w:p>
        </w:tc>
        <w:tc>
          <w:tcPr>
            <w:tcW w:w="2257" w:type="dxa"/>
          </w:tcPr>
          <w:p w14:paraId="65536C42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C6CFE50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</w:tcPr>
          <w:p w14:paraId="0C6510D7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D4992" w:rsidRPr="006C65D2" w14:paraId="276B1BFB" w14:textId="77777777">
        <w:tc>
          <w:tcPr>
            <w:tcW w:w="2284" w:type="dxa"/>
          </w:tcPr>
          <w:p w14:paraId="709F30D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konwersatorium</w:t>
            </w:r>
          </w:p>
        </w:tc>
        <w:tc>
          <w:tcPr>
            <w:tcW w:w="2257" w:type="dxa"/>
          </w:tcPr>
          <w:p w14:paraId="2621D378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7ABA65F3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5BE626CB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10908465" w14:textId="77777777">
        <w:tc>
          <w:tcPr>
            <w:tcW w:w="2284" w:type="dxa"/>
          </w:tcPr>
          <w:p w14:paraId="531D24A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ćwiczenia</w:t>
            </w:r>
          </w:p>
        </w:tc>
        <w:tc>
          <w:tcPr>
            <w:tcW w:w="2257" w:type="dxa"/>
          </w:tcPr>
          <w:p w14:paraId="2014FF67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260" w:type="dxa"/>
          </w:tcPr>
          <w:p w14:paraId="6096E43D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V</w:t>
            </w:r>
          </w:p>
        </w:tc>
        <w:tc>
          <w:tcPr>
            <w:tcW w:w="2260" w:type="dxa"/>
            <w:vMerge/>
          </w:tcPr>
          <w:p w14:paraId="17BEDF7D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2CACA60D" w14:textId="77777777">
        <w:tc>
          <w:tcPr>
            <w:tcW w:w="2284" w:type="dxa"/>
          </w:tcPr>
          <w:p w14:paraId="1333E332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laboratorium</w:t>
            </w:r>
          </w:p>
        </w:tc>
        <w:tc>
          <w:tcPr>
            <w:tcW w:w="2257" w:type="dxa"/>
          </w:tcPr>
          <w:p w14:paraId="489FBA19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2B32F1E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F236A2B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6895CFD0" w14:textId="77777777">
        <w:tc>
          <w:tcPr>
            <w:tcW w:w="2284" w:type="dxa"/>
          </w:tcPr>
          <w:p w14:paraId="766AFD9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warsztaty</w:t>
            </w:r>
          </w:p>
        </w:tc>
        <w:tc>
          <w:tcPr>
            <w:tcW w:w="2257" w:type="dxa"/>
          </w:tcPr>
          <w:p w14:paraId="018E6A0A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4F86A453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7B5AE1D0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2089095A" w14:textId="77777777">
        <w:tc>
          <w:tcPr>
            <w:tcW w:w="2284" w:type="dxa"/>
          </w:tcPr>
          <w:p w14:paraId="56524417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seminarium</w:t>
            </w:r>
          </w:p>
        </w:tc>
        <w:tc>
          <w:tcPr>
            <w:tcW w:w="2257" w:type="dxa"/>
          </w:tcPr>
          <w:p w14:paraId="2D0B04EB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AC867B1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53EAD3F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285EA122" w14:textId="77777777">
        <w:tc>
          <w:tcPr>
            <w:tcW w:w="2284" w:type="dxa"/>
          </w:tcPr>
          <w:p w14:paraId="443895C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proseminarium</w:t>
            </w:r>
          </w:p>
        </w:tc>
        <w:tc>
          <w:tcPr>
            <w:tcW w:w="2257" w:type="dxa"/>
          </w:tcPr>
          <w:p w14:paraId="49D65266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3E23F6DC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4C22DAB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27A21DF7" w14:textId="77777777">
        <w:tc>
          <w:tcPr>
            <w:tcW w:w="2284" w:type="dxa"/>
          </w:tcPr>
          <w:p w14:paraId="51586F0A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lektorat</w:t>
            </w:r>
          </w:p>
        </w:tc>
        <w:tc>
          <w:tcPr>
            <w:tcW w:w="2257" w:type="dxa"/>
          </w:tcPr>
          <w:p w14:paraId="48A8BCBB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0C5D3392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6E900F26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3C15F605" w14:textId="77777777">
        <w:tc>
          <w:tcPr>
            <w:tcW w:w="2284" w:type="dxa"/>
          </w:tcPr>
          <w:p w14:paraId="11645BA2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praktyki</w:t>
            </w:r>
          </w:p>
        </w:tc>
        <w:tc>
          <w:tcPr>
            <w:tcW w:w="2257" w:type="dxa"/>
          </w:tcPr>
          <w:p w14:paraId="521C1397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A287B79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1E158EDA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2D767C8E" w14:textId="77777777">
        <w:tc>
          <w:tcPr>
            <w:tcW w:w="2284" w:type="dxa"/>
          </w:tcPr>
          <w:p w14:paraId="318BF9D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zajęcia terenowe</w:t>
            </w:r>
          </w:p>
        </w:tc>
        <w:tc>
          <w:tcPr>
            <w:tcW w:w="2257" w:type="dxa"/>
          </w:tcPr>
          <w:p w14:paraId="61FC15F3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1EE3069D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68167C4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54A02B7E" w14:textId="77777777">
        <w:tc>
          <w:tcPr>
            <w:tcW w:w="2284" w:type="dxa"/>
          </w:tcPr>
          <w:p w14:paraId="35952FD3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pracownia dyplomowa</w:t>
            </w:r>
          </w:p>
        </w:tc>
        <w:tc>
          <w:tcPr>
            <w:tcW w:w="2257" w:type="dxa"/>
          </w:tcPr>
          <w:p w14:paraId="37587C22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89EECF5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63F54D37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30D6CA1D" w14:textId="77777777">
        <w:tc>
          <w:tcPr>
            <w:tcW w:w="2284" w:type="dxa"/>
          </w:tcPr>
          <w:p w14:paraId="1FB16BEC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6C65D2">
              <w:rPr>
                <w:rFonts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74860CD4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5A727E3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8B20782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20594D28" w14:textId="77777777">
        <w:tc>
          <w:tcPr>
            <w:tcW w:w="2284" w:type="dxa"/>
          </w:tcPr>
          <w:p w14:paraId="3B1483B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2257" w:type="dxa"/>
          </w:tcPr>
          <w:p w14:paraId="1D0ED542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</w:tcPr>
          <w:p w14:paraId="5D181885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14:paraId="00719477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CF1CCA7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AD4992" w:rsidRPr="006C65D2" w14:paraId="27364BE7" w14:textId="77777777">
        <w:tc>
          <w:tcPr>
            <w:tcW w:w="2215" w:type="dxa"/>
          </w:tcPr>
          <w:p w14:paraId="0344EED6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Wymagania wstępne</w:t>
            </w:r>
          </w:p>
        </w:tc>
        <w:tc>
          <w:tcPr>
            <w:tcW w:w="6846" w:type="dxa"/>
          </w:tcPr>
          <w:p w14:paraId="068B4081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90AA420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p w14:paraId="5847564F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p w14:paraId="43C70A1D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 xml:space="preserve">Cele kształcenia dla przedmiotu                             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AD4992" w:rsidRPr="006C65D2" w14:paraId="1B4FF0FE" w14:textId="77777777">
        <w:tc>
          <w:tcPr>
            <w:tcW w:w="9062" w:type="dxa"/>
          </w:tcPr>
          <w:p w14:paraId="45DBC636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Zwiększanie poziomu wiedzy studentów z zakresu struktury i zadań pomocy społecznej w Polsce</w:t>
            </w:r>
          </w:p>
        </w:tc>
      </w:tr>
      <w:tr w:rsidR="00AD4992" w:rsidRPr="006C65D2" w14:paraId="0D2C2B28" w14:textId="77777777">
        <w:tc>
          <w:tcPr>
            <w:tcW w:w="9062" w:type="dxa"/>
          </w:tcPr>
          <w:p w14:paraId="64DCFEE9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Ukazanie specyfiki pracy socjalnej w różnych obszarach życia (m.in. niepełnosprawność, </w:t>
            </w:r>
            <w:r w:rsidRPr="006C65D2">
              <w:rPr>
                <w:rFonts w:cstheme="minorHAnsi"/>
                <w:sz w:val="24"/>
                <w:szCs w:val="24"/>
              </w:rPr>
              <w:lastRenderedPageBreak/>
              <w:t>ubóstwo, dysfunkcje rodzin) z uwzględnieniem jej metodyki</w:t>
            </w:r>
          </w:p>
        </w:tc>
      </w:tr>
      <w:tr w:rsidR="00AD4992" w:rsidRPr="006C65D2" w14:paraId="3F96AC90" w14:textId="77777777">
        <w:tc>
          <w:tcPr>
            <w:tcW w:w="9062" w:type="dxa"/>
          </w:tcPr>
          <w:p w14:paraId="7280505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lastRenderedPageBreak/>
              <w:t>Poszerzenie wiedzy studentów na temat specyfiki starości, potrzeb ludzi w wieku podeszłym oraz form pracy z seniorami</w:t>
            </w:r>
          </w:p>
        </w:tc>
      </w:tr>
    </w:tbl>
    <w:p w14:paraId="1266E882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p w14:paraId="10F26EB0" w14:textId="77777777" w:rsidR="00AD4992" w:rsidRPr="006C65D2" w:rsidRDefault="00000000">
      <w:pPr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br w:type="page"/>
      </w:r>
    </w:p>
    <w:p w14:paraId="3F8D16E7" w14:textId="77777777" w:rsidR="00AD4992" w:rsidRPr="006C65D2" w:rsidRDefault="00AD4992">
      <w:pPr>
        <w:spacing w:after="0"/>
        <w:rPr>
          <w:rFonts w:cstheme="minorHAnsi"/>
          <w:sz w:val="24"/>
          <w:szCs w:val="24"/>
        </w:rPr>
      </w:pPr>
    </w:p>
    <w:p w14:paraId="22B461E7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1"/>
        <w:gridCol w:w="5832"/>
        <w:gridCol w:w="2139"/>
      </w:tblGrid>
      <w:tr w:rsidR="00AD4992" w:rsidRPr="006C65D2" w14:paraId="7DCA8F4B" w14:textId="77777777">
        <w:tc>
          <w:tcPr>
            <w:tcW w:w="1091" w:type="dxa"/>
            <w:vAlign w:val="center"/>
          </w:tcPr>
          <w:p w14:paraId="7D1CA76B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Symbol</w:t>
            </w:r>
          </w:p>
        </w:tc>
        <w:tc>
          <w:tcPr>
            <w:tcW w:w="5832" w:type="dxa"/>
            <w:vAlign w:val="center"/>
          </w:tcPr>
          <w:p w14:paraId="4F4F9F2B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139" w:type="dxa"/>
            <w:vAlign w:val="center"/>
          </w:tcPr>
          <w:p w14:paraId="3C9A12A8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Odniesienie do efektu kierunkowego</w:t>
            </w:r>
          </w:p>
        </w:tc>
      </w:tr>
      <w:tr w:rsidR="00AD4992" w:rsidRPr="006C65D2" w14:paraId="0C6F3F57" w14:textId="77777777">
        <w:tc>
          <w:tcPr>
            <w:tcW w:w="9062" w:type="dxa"/>
            <w:gridSpan w:val="3"/>
          </w:tcPr>
          <w:p w14:paraId="5EE82F66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WIEDZA</w:t>
            </w:r>
          </w:p>
        </w:tc>
      </w:tr>
      <w:tr w:rsidR="00AD4992" w:rsidRPr="006C65D2" w14:paraId="74DFF438" w14:textId="77777777">
        <w:tc>
          <w:tcPr>
            <w:tcW w:w="1091" w:type="dxa"/>
          </w:tcPr>
          <w:p w14:paraId="22DD9392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W_01</w:t>
            </w:r>
          </w:p>
        </w:tc>
        <w:tc>
          <w:tcPr>
            <w:tcW w:w="5832" w:type="dxa"/>
          </w:tcPr>
          <w:p w14:paraId="29730CE6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Student zna i rozumie koncepcję integralnego rozwoju człowieka, szczególnie doświadczającego różnorodnych kryzysów oraz osób w wieku podeszłym</w:t>
            </w:r>
          </w:p>
        </w:tc>
        <w:tc>
          <w:tcPr>
            <w:tcW w:w="2139" w:type="dxa"/>
          </w:tcPr>
          <w:p w14:paraId="3DC2AA9F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K_W05</w:t>
            </w:r>
          </w:p>
          <w:p w14:paraId="70187225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4992" w:rsidRPr="006C65D2" w14:paraId="1677AB4A" w14:textId="77777777">
        <w:tc>
          <w:tcPr>
            <w:tcW w:w="1091" w:type="dxa"/>
          </w:tcPr>
          <w:p w14:paraId="4EA8EF12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5832" w:type="dxa"/>
          </w:tcPr>
          <w:p w14:paraId="41E8609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Student zna podstawowe założenia funkcjonowania pomocy społecznej w Polsce, zna instytucje z zakresu pomocy społecznej, wie jaką świadczą pomoc</w:t>
            </w:r>
          </w:p>
        </w:tc>
        <w:tc>
          <w:tcPr>
            <w:tcW w:w="2139" w:type="dxa"/>
          </w:tcPr>
          <w:p w14:paraId="0ACDDBD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K_W06</w:t>
            </w:r>
          </w:p>
        </w:tc>
      </w:tr>
      <w:tr w:rsidR="00AD4992" w:rsidRPr="006C65D2" w14:paraId="73B42B30" w14:textId="77777777">
        <w:tc>
          <w:tcPr>
            <w:tcW w:w="1091" w:type="dxa"/>
          </w:tcPr>
          <w:p w14:paraId="07F2E3B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W_03</w:t>
            </w:r>
          </w:p>
        </w:tc>
        <w:tc>
          <w:tcPr>
            <w:tcW w:w="5832" w:type="dxa"/>
          </w:tcPr>
          <w:p w14:paraId="0C17A9CC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Student zna instytucje prowadzące działalność na rzecz seniorów</w:t>
            </w:r>
          </w:p>
        </w:tc>
        <w:tc>
          <w:tcPr>
            <w:tcW w:w="2139" w:type="dxa"/>
          </w:tcPr>
          <w:p w14:paraId="02D9AC5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K_W06</w:t>
            </w:r>
          </w:p>
        </w:tc>
      </w:tr>
      <w:tr w:rsidR="00AD4992" w:rsidRPr="006C65D2" w14:paraId="5F300C45" w14:textId="77777777">
        <w:tc>
          <w:tcPr>
            <w:tcW w:w="9062" w:type="dxa"/>
            <w:gridSpan w:val="3"/>
          </w:tcPr>
          <w:p w14:paraId="61E9BE22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UMIEJĘTNOŚCI</w:t>
            </w:r>
          </w:p>
        </w:tc>
      </w:tr>
      <w:tr w:rsidR="00AD4992" w:rsidRPr="006C65D2" w14:paraId="4A5B1C98" w14:textId="77777777">
        <w:tc>
          <w:tcPr>
            <w:tcW w:w="1091" w:type="dxa"/>
          </w:tcPr>
          <w:p w14:paraId="51539ED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U_01</w:t>
            </w:r>
          </w:p>
        </w:tc>
        <w:tc>
          <w:tcPr>
            <w:tcW w:w="5832" w:type="dxa"/>
          </w:tcPr>
          <w:p w14:paraId="1000730C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Student potrafi analizować sytuacje trudne wymagające wsparcia i interwencji</w:t>
            </w:r>
          </w:p>
        </w:tc>
        <w:tc>
          <w:tcPr>
            <w:tcW w:w="2139" w:type="dxa"/>
          </w:tcPr>
          <w:p w14:paraId="7C4A52E5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K_U06</w:t>
            </w:r>
          </w:p>
        </w:tc>
      </w:tr>
      <w:tr w:rsidR="00AD4992" w:rsidRPr="006C65D2" w14:paraId="01351544" w14:textId="77777777">
        <w:tc>
          <w:tcPr>
            <w:tcW w:w="1091" w:type="dxa"/>
          </w:tcPr>
          <w:p w14:paraId="2464C15F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U_02</w:t>
            </w:r>
          </w:p>
        </w:tc>
        <w:tc>
          <w:tcPr>
            <w:tcW w:w="5832" w:type="dxa"/>
          </w:tcPr>
          <w:p w14:paraId="485B1E4C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Student potrafi analizować sytuację seniorów</w:t>
            </w:r>
          </w:p>
        </w:tc>
        <w:tc>
          <w:tcPr>
            <w:tcW w:w="2139" w:type="dxa"/>
          </w:tcPr>
          <w:p w14:paraId="6AA619B5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K_U06</w:t>
            </w:r>
          </w:p>
        </w:tc>
      </w:tr>
      <w:tr w:rsidR="00AD4992" w:rsidRPr="006C65D2" w14:paraId="26260A7D" w14:textId="77777777">
        <w:tc>
          <w:tcPr>
            <w:tcW w:w="9062" w:type="dxa"/>
            <w:gridSpan w:val="3"/>
          </w:tcPr>
          <w:p w14:paraId="6C7D8361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KOMPETENCJE SPOŁECZNE</w:t>
            </w:r>
          </w:p>
        </w:tc>
      </w:tr>
      <w:tr w:rsidR="00AD4992" w:rsidRPr="006C65D2" w14:paraId="60F4020F" w14:textId="77777777">
        <w:tc>
          <w:tcPr>
            <w:tcW w:w="1091" w:type="dxa"/>
          </w:tcPr>
          <w:p w14:paraId="1C6D322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K_01</w:t>
            </w:r>
          </w:p>
        </w:tc>
        <w:tc>
          <w:tcPr>
            <w:tcW w:w="5832" w:type="dxa"/>
          </w:tcPr>
          <w:p w14:paraId="2429ECB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Student jest gotów do uczestnictwa w projektach społecznych, szczególnie na rzecz środowisk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defaworyzowanych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oraz seniorów.</w:t>
            </w:r>
          </w:p>
        </w:tc>
        <w:tc>
          <w:tcPr>
            <w:tcW w:w="2139" w:type="dxa"/>
          </w:tcPr>
          <w:p w14:paraId="776B0D8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K_K03</w:t>
            </w:r>
          </w:p>
        </w:tc>
      </w:tr>
    </w:tbl>
    <w:p w14:paraId="0BFFF4DC" w14:textId="77777777" w:rsidR="00AD4992" w:rsidRPr="006C65D2" w:rsidRDefault="00AD4992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7561559D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AD4992" w:rsidRPr="006C65D2" w14:paraId="52C886F5" w14:textId="77777777">
        <w:tc>
          <w:tcPr>
            <w:tcW w:w="9062" w:type="dxa"/>
          </w:tcPr>
          <w:p w14:paraId="321E62FE" w14:textId="77777777" w:rsidR="00AD4992" w:rsidRPr="006C65D2" w:rsidRDefault="00000000">
            <w:pPr>
              <w:pStyle w:val="Akapitzlist"/>
              <w:widowControl w:val="0"/>
              <w:spacing w:after="0" w:line="240" w:lineRule="auto"/>
              <w:ind w:left="710"/>
              <w:rPr>
                <w:rFonts w:cstheme="minorHAnsi"/>
                <w:bCs/>
                <w:sz w:val="24"/>
                <w:szCs w:val="24"/>
              </w:rPr>
            </w:pPr>
            <w:r w:rsidRPr="006C65D2">
              <w:rPr>
                <w:rFonts w:cstheme="minorHAnsi"/>
                <w:bCs/>
                <w:sz w:val="24"/>
                <w:szCs w:val="24"/>
              </w:rPr>
              <w:t>1. Praca socjalna i pomoc społeczna – zagadnienia wprowadzające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istota, cele, funkcje pomocy społecznej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istota, cele, funkcje pracy socjalnej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podstawowe ustalenia definicyjne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2. Organizacja pomocy społecznej w Polsce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aspekty prawne (Ustawa o pomocy społecznej)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sektory (I, II i III) i jednostki organizujące i realizujące zadania z zakresu pomocy społecznej (ROPS, PCPR, placówki wsparcia i opieki)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3. Praca socjalna w praktyce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Podstawowe metody pracy socjalnej (indywidualna, grupowa, środowiskowa)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Praca socjalna jako proces zachodzący w relacji (elementy, specyfika)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Praca socjalna w wybranych środowiskach (1) rodzina, 3) szkoła, 2) osoby uzależnione, 3) z niepełnosprawnością, 4) chore psychicznie, 5) bezrobotne, 6) bezdomne)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4. Wybrane zagadnienia z gerontologii społecznej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Podstawowe pojęcia: gerontologia, starość i jej periodyzacja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Charakterystyka starości w wymiarach: demograficznym, biologicznym, materialnym, psychologicznym, społeczno-kulturowym, religijnym (przesłanie Jana Pawła II do osób w podeszłym wieku)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Edukacja i czas wolny seniorów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</w:r>
            <w:r w:rsidRPr="006C65D2">
              <w:rPr>
                <w:rFonts w:cstheme="minorHAnsi"/>
                <w:bCs/>
                <w:sz w:val="24"/>
                <w:szCs w:val="24"/>
              </w:rPr>
              <w:lastRenderedPageBreak/>
              <w:t xml:space="preserve">• Organizacje i stowarzyszenia </w:t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prosenioralne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 w walce o prawa człowieka starszego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Instytucje i placówki wspierające rozwój człowieka starszego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Instytucje i placówki pomocy człowiekowi starszemu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5. Praca socjalna i pomoc społeczna wobec starości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Regulacje prawne i system polityki społecznej wobec osób starszych (skala, zasady, formy)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Formy pracy socjalnej dotyczącej seniorów – opieka i wsparcie instytucjonalne i środowiskowe, całodobowe i dzienne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• System zabezpieczeń społecznych dla osób starszych</w:t>
            </w:r>
          </w:p>
        </w:tc>
      </w:tr>
    </w:tbl>
    <w:p w14:paraId="71EE594A" w14:textId="77777777" w:rsidR="00AD4992" w:rsidRPr="006C65D2" w:rsidRDefault="00AD4992">
      <w:pPr>
        <w:rPr>
          <w:rFonts w:cstheme="minorHAnsi"/>
          <w:bCs/>
          <w:sz w:val="24"/>
          <w:szCs w:val="24"/>
        </w:rPr>
      </w:pPr>
    </w:p>
    <w:p w14:paraId="5FE4687D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78"/>
        <w:gridCol w:w="2545"/>
      </w:tblGrid>
      <w:tr w:rsidR="00AD4992" w:rsidRPr="006C65D2" w14:paraId="6F2FE4E3" w14:textId="77777777">
        <w:tc>
          <w:tcPr>
            <w:tcW w:w="1091" w:type="dxa"/>
            <w:vAlign w:val="center"/>
          </w:tcPr>
          <w:p w14:paraId="58895FF2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Symbol efektu</w:t>
            </w:r>
          </w:p>
        </w:tc>
        <w:tc>
          <w:tcPr>
            <w:tcW w:w="2647" w:type="dxa"/>
            <w:vAlign w:val="center"/>
          </w:tcPr>
          <w:p w14:paraId="2932AD45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Metody dydaktyczne</w:t>
            </w:r>
          </w:p>
          <w:p w14:paraId="182DE831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34315527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Metody weryfikacji</w:t>
            </w:r>
          </w:p>
          <w:p w14:paraId="639C793B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545" w:type="dxa"/>
            <w:vAlign w:val="center"/>
          </w:tcPr>
          <w:p w14:paraId="04E3B1E4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Sposoby dokumentacji</w:t>
            </w:r>
          </w:p>
          <w:p w14:paraId="2E2C290F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i/>
                <w:sz w:val="24"/>
                <w:szCs w:val="24"/>
              </w:rPr>
              <w:t>(lista wyboru)</w:t>
            </w:r>
          </w:p>
        </w:tc>
      </w:tr>
      <w:tr w:rsidR="00AD4992" w:rsidRPr="006C65D2" w14:paraId="35379E1E" w14:textId="77777777">
        <w:tc>
          <w:tcPr>
            <w:tcW w:w="9061" w:type="dxa"/>
            <w:gridSpan w:val="4"/>
            <w:vAlign w:val="center"/>
          </w:tcPr>
          <w:p w14:paraId="1B6CBA66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WIEDZA</w:t>
            </w:r>
          </w:p>
        </w:tc>
      </w:tr>
      <w:tr w:rsidR="00AD4992" w:rsidRPr="006C65D2" w14:paraId="29FD2574" w14:textId="77777777">
        <w:tc>
          <w:tcPr>
            <w:tcW w:w="1091" w:type="dxa"/>
          </w:tcPr>
          <w:p w14:paraId="31B9AE2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W_01</w:t>
            </w:r>
          </w:p>
        </w:tc>
        <w:tc>
          <w:tcPr>
            <w:tcW w:w="2647" w:type="dxa"/>
          </w:tcPr>
          <w:p w14:paraId="3B5BE6EA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Prezentacje, dyskusje</w:t>
            </w:r>
          </w:p>
        </w:tc>
        <w:tc>
          <w:tcPr>
            <w:tcW w:w="2778" w:type="dxa"/>
          </w:tcPr>
          <w:p w14:paraId="4FB66E6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kolokwium</w:t>
            </w:r>
          </w:p>
        </w:tc>
        <w:tc>
          <w:tcPr>
            <w:tcW w:w="2545" w:type="dxa"/>
          </w:tcPr>
          <w:p w14:paraId="24B7607B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Dokumentacja kolokwium</w:t>
            </w:r>
          </w:p>
        </w:tc>
      </w:tr>
      <w:tr w:rsidR="00AD4992" w:rsidRPr="006C65D2" w14:paraId="1F3029E6" w14:textId="77777777">
        <w:tc>
          <w:tcPr>
            <w:tcW w:w="1091" w:type="dxa"/>
          </w:tcPr>
          <w:p w14:paraId="6F9293A7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W_02</w:t>
            </w:r>
          </w:p>
        </w:tc>
        <w:tc>
          <w:tcPr>
            <w:tcW w:w="2647" w:type="dxa"/>
          </w:tcPr>
          <w:p w14:paraId="65375691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Prezentacje, warsztat, dyskusja</w:t>
            </w:r>
          </w:p>
        </w:tc>
        <w:tc>
          <w:tcPr>
            <w:tcW w:w="2778" w:type="dxa"/>
          </w:tcPr>
          <w:p w14:paraId="1700DDE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kolokwium</w:t>
            </w:r>
          </w:p>
        </w:tc>
        <w:tc>
          <w:tcPr>
            <w:tcW w:w="2545" w:type="dxa"/>
          </w:tcPr>
          <w:p w14:paraId="174DCFF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Dokumentacja kolokwium </w:t>
            </w:r>
          </w:p>
        </w:tc>
      </w:tr>
      <w:tr w:rsidR="00AD4992" w:rsidRPr="006C65D2" w14:paraId="7546DA8B" w14:textId="77777777">
        <w:tc>
          <w:tcPr>
            <w:tcW w:w="1091" w:type="dxa"/>
          </w:tcPr>
          <w:p w14:paraId="15C4170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W_03</w:t>
            </w:r>
          </w:p>
        </w:tc>
        <w:tc>
          <w:tcPr>
            <w:tcW w:w="2647" w:type="dxa"/>
          </w:tcPr>
          <w:p w14:paraId="1EB3288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Prezentacje, warsztat</w:t>
            </w:r>
          </w:p>
        </w:tc>
        <w:tc>
          <w:tcPr>
            <w:tcW w:w="2778" w:type="dxa"/>
          </w:tcPr>
          <w:p w14:paraId="5A2782FC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Kolokwium </w:t>
            </w:r>
          </w:p>
        </w:tc>
        <w:tc>
          <w:tcPr>
            <w:tcW w:w="2545" w:type="dxa"/>
          </w:tcPr>
          <w:p w14:paraId="38D8EE9D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Dokumentacja kolokwium</w:t>
            </w:r>
          </w:p>
        </w:tc>
      </w:tr>
      <w:tr w:rsidR="00AD4992" w:rsidRPr="006C65D2" w14:paraId="03B0E778" w14:textId="77777777">
        <w:tc>
          <w:tcPr>
            <w:tcW w:w="9061" w:type="dxa"/>
            <w:gridSpan w:val="4"/>
            <w:vAlign w:val="center"/>
          </w:tcPr>
          <w:p w14:paraId="3A3AFAB6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UMIEJĘTNOŚCI</w:t>
            </w:r>
          </w:p>
        </w:tc>
      </w:tr>
      <w:tr w:rsidR="00AD4992" w:rsidRPr="006C65D2" w14:paraId="4B7549EB" w14:textId="77777777">
        <w:tc>
          <w:tcPr>
            <w:tcW w:w="1091" w:type="dxa"/>
          </w:tcPr>
          <w:p w14:paraId="34ACA7C8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U_01</w:t>
            </w:r>
          </w:p>
        </w:tc>
        <w:tc>
          <w:tcPr>
            <w:tcW w:w="2647" w:type="dxa"/>
          </w:tcPr>
          <w:p w14:paraId="5EAD7E8B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Prezentacja, dyskusja, praca w grupach </w:t>
            </w:r>
          </w:p>
        </w:tc>
        <w:tc>
          <w:tcPr>
            <w:tcW w:w="2778" w:type="dxa"/>
          </w:tcPr>
          <w:p w14:paraId="40DC810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Grupowe prezentacje studentów</w:t>
            </w:r>
          </w:p>
        </w:tc>
        <w:tc>
          <w:tcPr>
            <w:tcW w:w="2545" w:type="dxa"/>
          </w:tcPr>
          <w:p w14:paraId="664DA30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Archiwum prezentacji</w:t>
            </w:r>
          </w:p>
        </w:tc>
      </w:tr>
      <w:tr w:rsidR="00AD4992" w:rsidRPr="006C65D2" w14:paraId="32484A57" w14:textId="77777777">
        <w:tc>
          <w:tcPr>
            <w:tcW w:w="1091" w:type="dxa"/>
          </w:tcPr>
          <w:p w14:paraId="6DA1A38B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U_02</w:t>
            </w:r>
          </w:p>
        </w:tc>
        <w:tc>
          <w:tcPr>
            <w:tcW w:w="2647" w:type="dxa"/>
          </w:tcPr>
          <w:p w14:paraId="6D0C1044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Warsztat diagnozowania/ praca indywidualna studenta</w:t>
            </w:r>
          </w:p>
        </w:tc>
        <w:tc>
          <w:tcPr>
            <w:tcW w:w="2778" w:type="dxa"/>
          </w:tcPr>
          <w:p w14:paraId="02D8FBD0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Praca pisemna</w:t>
            </w:r>
          </w:p>
        </w:tc>
        <w:tc>
          <w:tcPr>
            <w:tcW w:w="2545" w:type="dxa"/>
          </w:tcPr>
          <w:p w14:paraId="59411ED2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Archiwum prac</w:t>
            </w:r>
          </w:p>
        </w:tc>
      </w:tr>
      <w:tr w:rsidR="00AD4992" w:rsidRPr="006C65D2" w14:paraId="57E0F783" w14:textId="77777777">
        <w:tc>
          <w:tcPr>
            <w:tcW w:w="9061" w:type="dxa"/>
            <w:gridSpan w:val="4"/>
            <w:vAlign w:val="center"/>
          </w:tcPr>
          <w:p w14:paraId="1A58B33D" w14:textId="77777777" w:rsidR="00AD4992" w:rsidRPr="006C65D2" w:rsidRDefault="00000000">
            <w:pPr>
              <w:widowControl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KOMPETENCJE SPOŁECZNE</w:t>
            </w:r>
          </w:p>
        </w:tc>
      </w:tr>
      <w:tr w:rsidR="00AD4992" w:rsidRPr="006C65D2" w14:paraId="64B8F4BC" w14:textId="77777777">
        <w:tc>
          <w:tcPr>
            <w:tcW w:w="1091" w:type="dxa"/>
          </w:tcPr>
          <w:p w14:paraId="6C8439F3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K_01</w:t>
            </w:r>
          </w:p>
        </w:tc>
        <w:tc>
          <w:tcPr>
            <w:tcW w:w="2647" w:type="dxa"/>
          </w:tcPr>
          <w:p w14:paraId="27B0058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Dyskusja, praca w grupach</w:t>
            </w:r>
          </w:p>
        </w:tc>
        <w:tc>
          <w:tcPr>
            <w:tcW w:w="2778" w:type="dxa"/>
          </w:tcPr>
          <w:p w14:paraId="26D1F02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Obserwacja </w:t>
            </w:r>
          </w:p>
        </w:tc>
        <w:tc>
          <w:tcPr>
            <w:tcW w:w="2545" w:type="dxa"/>
          </w:tcPr>
          <w:p w14:paraId="5EF7D526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Notatki </w:t>
            </w:r>
          </w:p>
        </w:tc>
      </w:tr>
    </w:tbl>
    <w:p w14:paraId="2691B9A6" w14:textId="77777777" w:rsidR="00AD4992" w:rsidRPr="006C65D2" w:rsidRDefault="00000000">
      <w:pPr>
        <w:spacing w:after="0"/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t xml:space="preserve">   </w:t>
      </w:r>
    </w:p>
    <w:p w14:paraId="3F8BD79E" w14:textId="77777777" w:rsidR="00AD4992" w:rsidRPr="006C65D2" w:rsidRDefault="00AD4992">
      <w:pPr>
        <w:pStyle w:val="Akapitzlist"/>
        <w:ind w:left="1080"/>
        <w:rPr>
          <w:rFonts w:cstheme="minorHAnsi"/>
          <w:b/>
          <w:sz w:val="24"/>
          <w:szCs w:val="24"/>
        </w:rPr>
      </w:pPr>
    </w:p>
    <w:p w14:paraId="72DB98B8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>Kryteria oceny, wagi…</w:t>
      </w:r>
    </w:p>
    <w:p w14:paraId="6D7EC041" w14:textId="77777777" w:rsidR="00AD4992" w:rsidRPr="006C65D2" w:rsidRDefault="00000000">
      <w:pPr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t>Obecność na zajęciach – 10% oceny</w:t>
      </w:r>
    </w:p>
    <w:p w14:paraId="32A26FBB" w14:textId="77777777" w:rsidR="00AD4992" w:rsidRPr="006C65D2" w:rsidRDefault="00000000">
      <w:pPr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t>Aktywność na zajęciach – 30% oceny</w:t>
      </w:r>
    </w:p>
    <w:p w14:paraId="1CA524FD" w14:textId="77777777" w:rsidR="00AD4992" w:rsidRPr="006C65D2" w:rsidRDefault="00000000">
      <w:pPr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t>Ocena z prac zaliczeniowych – 30 % oceny</w:t>
      </w:r>
    </w:p>
    <w:p w14:paraId="0688BF67" w14:textId="77777777" w:rsidR="00AD4992" w:rsidRPr="006C65D2" w:rsidRDefault="00000000">
      <w:pPr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t>Ocena z kolokwium - 30 % oceny</w:t>
      </w:r>
    </w:p>
    <w:p w14:paraId="47237C74" w14:textId="77777777" w:rsidR="00AD4992" w:rsidRPr="006C65D2" w:rsidRDefault="00000000">
      <w:pPr>
        <w:jc w:val="both"/>
        <w:rPr>
          <w:rFonts w:cstheme="minorHAnsi"/>
          <w:sz w:val="24"/>
          <w:szCs w:val="24"/>
        </w:rPr>
      </w:pPr>
      <w:r w:rsidRPr="006C65D2">
        <w:rPr>
          <w:rFonts w:cstheme="minorHAnsi"/>
          <w:sz w:val="24"/>
          <w:szCs w:val="24"/>
        </w:rPr>
        <w:t xml:space="preserve">Warunki zaliczenia ćwiczeń: do zaliczenia przedmiotu wymagane są: obecności na zajęciach, aktywność na zajęciach, prace zaliczeniowe, kolokwium (1 lub 2 w trakcie semestru) obejmującego treści ćwiczeń i zawartość obowiązkowej literatury przedmiotowej. Ostateczne </w:t>
      </w:r>
      <w:r w:rsidRPr="006C65D2">
        <w:rPr>
          <w:rFonts w:cstheme="minorHAnsi"/>
          <w:sz w:val="24"/>
          <w:szCs w:val="24"/>
        </w:rPr>
        <w:lastRenderedPageBreak/>
        <w:t xml:space="preserve">kryteria punktowe dla poszczególnych ocen uzyskanych w trakcie kolokwium zostaną ustalone w zależności od poziomu prac zaliczeniowych i podane do wiadomości studentów. 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2406"/>
        <w:gridCol w:w="2317"/>
        <w:gridCol w:w="4364"/>
      </w:tblGrid>
      <w:tr w:rsidR="005F57FD" w:rsidRPr="006C65D2" w14:paraId="08C5D4F4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602B" w14:textId="77777777" w:rsidR="005F57FD" w:rsidRPr="006C65D2" w:rsidRDefault="005F57FD" w:rsidP="003D2A10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Ocena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B38E0" w14:textId="77777777" w:rsidR="005F57FD" w:rsidRPr="006C65D2" w:rsidRDefault="005F57FD" w:rsidP="003D2A10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Zakres procentowy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A864" w14:textId="77777777" w:rsidR="005F57FD" w:rsidRPr="006C65D2" w:rsidRDefault="005F57FD" w:rsidP="003D2A10">
            <w:pPr>
              <w:ind w:left="720"/>
              <w:jc w:val="both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Kryteria jakościowe</w:t>
            </w:r>
          </w:p>
        </w:tc>
      </w:tr>
      <w:tr w:rsidR="005F57FD" w:rsidRPr="006C65D2" w14:paraId="19DA827F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75934" w14:textId="77777777" w:rsidR="005F57FD" w:rsidRPr="006C65D2" w:rsidRDefault="005F57FD" w:rsidP="005F57FD">
            <w:pPr>
              <w:pStyle w:val="Akapitzlist"/>
              <w:numPr>
                <w:ilvl w:val="0"/>
                <w:numId w:val="20"/>
              </w:num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5,0 (bardzo dobry)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DB15" w14:textId="77777777" w:rsidR="005F57FD" w:rsidRPr="006C65D2" w:rsidRDefault="005F57FD" w:rsidP="005F57FD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91–100%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2A180" w14:textId="77777777" w:rsidR="005F57FD" w:rsidRPr="006C65D2" w:rsidRDefault="005F57FD" w:rsidP="005F57FD">
            <w:pPr>
              <w:pStyle w:val="Akapitzlist"/>
              <w:numPr>
                <w:ilvl w:val="0"/>
                <w:numId w:val="18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Student wykazuje pełne i twórcze opanowanie treści przedmiotu. Samodzielnie analizuje i rozwiązuje problemy z wykorzystaniem wiedzy przedmiotowej, formułuje trafne i twórcze wnioski i refleksje pedagogiczne.</w:t>
            </w:r>
          </w:p>
        </w:tc>
      </w:tr>
      <w:tr w:rsidR="005F57FD" w:rsidRPr="006C65D2" w14:paraId="29E41393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CF130" w14:textId="77777777" w:rsidR="005F57FD" w:rsidRPr="006C65D2" w:rsidRDefault="005F57FD" w:rsidP="005F57FD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4,5 (dobry plus)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DC156" w14:textId="77777777" w:rsidR="005F57FD" w:rsidRPr="006C65D2" w:rsidRDefault="005F57FD" w:rsidP="005F57FD">
            <w:pPr>
              <w:pStyle w:val="Akapitzlist"/>
              <w:numPr>
                <w:ilvl w:val="0"/>
                <w:numId w:val="16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81–90%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E6AC" w14:textId="77777777" w:rsidR="005F57FD" w:rsidRPr="006C65D2" w:rsidRDefault="005F57FD" w:rsidP="005F57FD">
            <w:pPr>
              <w:pStyle w:val="Akapitzlist"/>
              <w:numPr>
                <w:ilvl w:val="0"/>
                <w:numId w:val="15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Student bardzo dobrze zna treści przedmiotu, potrafi poprawnie wykorzystać wiedzę przedmiotową w analizie problemów pedagogicznych, formułuje trafne wnioski i refleksje pedagogiczne.</w:t>
            </w:r>
          </w:p>
        </w:tc>
      </w:tr>
      <w:tr w:rsidR="005F57FD" w:rsidRPr="006C65D2" w14:paraId="1FD52EBB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FC5FF" w14:textId="77777777" w:rsidR="005F57FD" w:rsidRPr="006C65D2" w:rsidRDefault="005F57FD" w:rsidP="005F57FD">
            <w:pPr>
              <w:pStyle w:val="Akapitzlist"/>
              <w:numPr>
                <w:ilvl w:val="0"/>
                <w:numId w:val="14"/>
              </w:num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4,0 (dobry)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B8814" w14:textId="77777777" w:rsidR="005F57FD" w:rsidRPr="006C65D2" w:rsidRDefault="005F57FD" w:rsidP="005F57FD">
            <w:pPr>
              <w:pStyle w:val="Akapitzlist"/>
              <w:numPr>
                <w:ilvl w:val="0"/>
                <w:numId w:val="13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71–80%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022D5" w14:textId="77777777" w:rsidR="005F57FD" w:rsidRPr="006C65D2" w:rsidRDefault="005F57FD" w:rsidP="005F57FD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Student poprawnie opanował materiał, rozumie kluczowe pojęcia i potrafi wykorzystać wiedzę przedmiotową w analizie problemów pedagogicznych; popełnia nieliczne błędy merytoryczne.</w:t>
            </w:r>
          </w:p>
        </w:tc>
      </w:tr>
      <w:tr w:rsidR="005F57FD" w:rsidRPr="006C65D2" w14:paraId="7BF078CC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E7E3F" w14:textId="77777777" w:rsidR="005F57FD" w:rsidRPr="006C65D2" w:rsidRDefault="005F57FD" w:rsidP="005F57FD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3,5 (dostateczny plus)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E0736" w14:textId="77777777" w:rsidR="005F57FD" w:rsidRPr="006C65D2" w:rsidRDefault="005F57FD" w:rsidP="005F57FD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61–70%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771AA" w14:textId="77777777" w:rsidR="005F57FD" w:rsidRPr="006C65D2" w:rsidRDefault="005F57FD" w:rsidP="005F57FD">
            <w:pPr>
              <w:pStyle w:val="Akapitzlist"/>
              <w:numPr>
                <w:ilvl w:val="0"/>
                <w:numId w:val="9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Student wykazuje podstawową znajomość treści, rozumie główne zagadnienia, potrafi częściowo zastosować wiedzę przedmiotową w analizie problemów pedagogicznych; popełnia jednak błędy interpretacyjne.</w:t>
            </w:r>
          </w:p>
        </w:tc>
      </w:tr>
      <w:tr w:rsidR="005F57FD" w:rsidRPr="006C65D2" w14:paraId="0FDF8118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15A1" w14:textId="77777777" w:rsidR="005F57FD" w:rsidRPr="006C65D2" w:rsidRDefault="005F57FD" w:rsidP="005F57FD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3,0 (dostateczny)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5B481" w14:textId="77777777" w:rsidR="005F57FD" w:rsidRPr="006C65D2" w:rsidRDefault="005F57FD" w:rsidP="005F57FD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51–60%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8BBC" w14:textId="77777777" w:rsidR="005F57FD" w:rsidRPr="006C65D2" w:rsidRDefault="005F57FD" w:rsidP="005F57FD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Student posiada minimalny zakres wiedzy niezbędny do zaliczenia przedmiotu; w minimalnym stopniu potrafi zastosować wiedzę przedmiotową w analizie  problemów pedagogicznych; popełnia  błędy interpretacyjne.</w:t>
            </w:r>
          </w:p>
        </w:tc>
      </w:tr>
      <w:tr w:rsidR="005F57FD" w:rsidRPr="006C65D2" w14:paraId="1C53A759" w14:textId="77777777" w:rsidTr="003D2A10">
        <w:trPr>
          <w:trHeight w:val="300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2860" w14:textId="77777777" w:rsidR="005F57FD" w:rsidRPr="006C65D2" w:rsidRDefault="005F57FD" w:rsidP="005F57FD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C65D2">
              <w:rPr>
                <w:rFonts w:eastAsia="Times New Roman" w:cstheme="minorHAnsi"/>
                <w:b/>
                <w:bCs/>
                <w:sz w:val="24"/>
                <w:szCs w:val="24"/>
              </w:rPr>
              <w:t>2,0 (niedostateczny)</w:t>
            </w:r>
          </w:p>
        </w:tc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9643" w14:textId="77777777" w:rsidR="005F57FD" w:rsidRPr="006C65D2" w:rsidRDefault="005F57FD" w:rsidP="005F57FD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>0–50%</w:t>
            </w:r>
          </w:p>
        </w:tc>
        <w:tc>
          <w:tcPr>
            <w:tcW w:w="48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E4255" w14:textId="77777777" w:rsidR="005F57FD" w:rsidRPr="006C65D2" w:rsidRDefault="005F57FD" w:rsidP="005F57FD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C65D2">
              <w:rPr>
                <w:rFonts w:eastAsia="Times New Roman" w:cstheme="minorHAnsi"/>
                <w:sz w:val="24"/>
                <w:szCs w:val="24"/>
              </w:rPr>
              <w:t xml:space="preserve">Student nie opanował podstawowych treści, nie potrafi </w:t>
            </w:r>
            <w:r w:rsidRPr="006C65D2">
              <w:rPr>
                <w:rFonts w:eastAsia="Times New Roman" w:cstheme="minorHAnsi"/>
                <w:sz w:val="24"/>
                <w:szCs w:val="24"/>
              </w:rPr>
              <w:lastRenderedPageBreak/>
              <w:t>zastosować wiedzy przedmiotowej w analizie  problemów pedagogicznych.</w:t>
            </w:r>
          </w:p>
        </w:tc>
      </w:tr>
    </w:tbl>
    <w:p w14:paraId="376A4429" w14:textId="77777777" w:rsidR="00AD4992" w:rsidRPr="006C65D2" w:rsidRDefault="00AD4992">
      <w:pPr>
        <w:jc w:val="both"/>
        <w:rPr>
          <w:rFonts w:cstheme="minorHAnsi"/>
          <w:sz w:val="24"/>
          <w:szCs w:val="24"/>
        </w:rPr>
      </w:pPr>
    </w:p>
    <w:p w14:paraId="02C5A075" w14:textId="77777777" w:rsidR="00AD4992" w:rsidRPr="006C65D2" w:rsidRDefault="00000000">
      <w:p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sz w:val="24"/>
          <w:szCs w:val="24"/>
        </w:rPr>
        <w:br w:type="page"/>
      </w:r>
    </w:p>
    <w:p w14:paraId="72A94785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lastRenderedPageBreak/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8"/>
        <w:gridCol w:w="4524"/>
      </w:tblGrid>
      <w:tr w:rsidR="00AD4992" w:rsidRPr="006C65D2" w14:paraId="764A1071" w14:textId="77777777">
        <w:tc>
          <w:tcPr>
            <w:tcW w:w="4537" w:type="dxa"/>
          </w:tcPr>
          <w:p w14:paraId="6329C129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524" w:type="dxa"/>
          </w:tcPr>
          <w:p w14:paraId="53E43ECD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Liczba godzin</w:t>
            </w:r>
          </w:p>
        </w:tc>
      </w:tr>
      <w:tr w:rsidR="00AD4992" w:rsidRPr="006C65D2" w14:paraId="6AE86C27" w14:textId="77777777">
        <w:tc>
          <w:tcPr>
            <w:tcW w:w="4537" w:type="dxa"/>
          </w:tcPr>
          <w:p w14:paraId="1265B451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 xml:space="preserve">Liczba godzin kontaktowych z nauczycielem </w:t>
            </w:r>
          </w:p>
          <w:p w14:paraId="62C3453D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4" w:type="dxa"/>
          </w:tcPr>
          <w:p w14:paraId="78442FBD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C65D2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D4992" w:rsidRPr="006C65D2" w14:paraId="6987A815" w14:textId="77777777">
        <w:tc>
          <w:tcPr>
            <w:tcW w:w="4537" w:type="dxa"/>
          </w:tcPr>
          <w:p w14:paraId="718A162A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Liczba godzin indywidualnej pracy studenta</w:t>
            </w:r>
          </w:p>
          <w:p w14:paraId="59814F27" w14:textId="77777777" w:rsidR="00AD4992" w:rsidRPr="006C65D2" w:rsidRDefault="00AD4992">
            <w:pPr>
              <w:widowControl w:val="0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524" w:type="dxa"/>
          </w:tcPr>
          <w:p w14:paraId="50C67BC9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C65D2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</w:tr>
    </w:tbl>
    <w:p w14:paraId="14481435" w14:textId="77777777" w:rsidR="00AD4992" w:rsidRPr="006C65D2" w:rsidRDefault="00AD4992">
      <w:pPr>
        <w:spacing w:after="0"/>
        <w:rPr>
          <w:rFonts w:cstheme="minorHAnsi"/>
          <w:b/>
          <w:sz w:val="24"/>
          <w:szCs w:val="24"/>
        </w:rPr>
      </w:pPr>
    </w:p>
    <w:p w14:paraId="2C3C0248" w14:textId="77777777" w:rsidR="00AD4992" w:rsidRPr="006C65D2" w:rsidRDefault="00000000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6C65D2">
        <w:rPr>
          <w:rFonts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AD4992" w:rsidRPr="006C65D2" w14:paraId="7A006369" w14:textId="77777777">
        <w:tc>
          <w:tcPr>
            <w:tcW w:w="9062" w:type="dxa"/>
          </w:tcPr>
          <w:p w14:paraId="15305382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Literatura podstawowa</w:t>
            </w:r>
          </w:p>
        </w:tc>
      </w:tr>
      <w:tr w:rsidR="00AD4992" w:rsidRPr="006C65D2" w14:paraId="28FF6D45" w14:textId="77777777">
        <w:tc>
          <w:tcPr>
            <w:tcW w:w="9062" w:type="dxa"/>
          </w:tcPr>
          <w:p w14:paraId="7BF2B464" w14:textId="3541A509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b/>
                <w:bCs/>
                <w:sz w:val="24"/>
                <w:szCs w:val="24"/>
              </w:rPr>
              <w:t>Praca socjalna</w:t>
            </w:r>
            <w:r w:rsidRPr="006C65D2">
              <w:rPr>
                <w:rFonts w:cstheme="minorHAnsi"/>
                <w:sz w:val="24"/>
                <w:szCs w:val="24"/>
              </w:rPr>
              <w:br/>
              <w:t xml:space="preserve">Ciągłość i zmiana w pomocy społecznej i pracy socjalnej red. Arkadiusz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Zukiewicz,Kraków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2009.</w:t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Howe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D., Krótkie wprowadzenie do teorii pracy socjalnej, Instytut Rozwoju Służb Społecznych, Warszawa 2011.</w:t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Kantowicz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E., Pedagogika (w) pracy socjalnej, Wydawnictwo Uniwersytetu Warmińsko-Mazurskiego, Olsztyn 2012</w:t>
            </w:r>
            <w:r w:rsidRPr="006C65D2">
              <w:rPr>
                <w:rFonts w:cstheme="minorHAnsi"/>
                <w:sz w:val="24"/>
                <w:szCs w:val="24"/>
              </w:rPr>
              <w:br/>
              <w:t xml:space="preserve">Koncepcje i praktyka działania społecznego w pracy socjalnej, red. E.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Kantowicz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>, Wyd. Uniwersytetu Warmińsko-Podlaskiego, Olsztyn 2011</w:t>
            </w:r>
            <w:r w:rsidRPr="006C65D2">
              <w:rPr>
                <w:rFonts w:cstheme="minorHAnsi"/>
                <w:sz w:val="24"/>
                <w:szCs w:val="24"/>
              </w:rPr>
              <w:br/>
              <w:t xml:space="preserve">Metodyka pracy socjalno-wychowawczej, red. E.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Kantowicz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>, Wyd. Uniwersytetu Warmińsko-Podlaskiego, Olsztyn 2013</w:t>
            </w:r>
            <w:r w:rsidRPr="006C65D2">
              <w:rPr>
                <w:rFonts w:cstheme="minorHAnsi"/>
                <w:sz w:val="24"/>
                <w:szCs w:val="24"/>
              </w:rPr>
              <w:br/>
              <w:t xml:space="preserve">O pracy i pomocy społecznej z pedagogicznego punktu widzenia, red. F. Marek, S. Śliwa, Wydaw.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WSZiA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>, Opole 2012</w:t>
            </w:r>
            <w:r w:rsidRPr="006C65D2">
              <w:rPr>
                <w:rFonts w:cstheme="minorHAnsi"/>
                <w:sz w:val="24"/>
                <w:szCs w:val="24"/>
              </w:rPr>
              <w:br/>
              <w:t>Teoretyczne i metodyczne aspekty pracy socjalnej w środowisku, red. M. Czapka, M. Wójcik, Górnośląska Wyższa Szkoła Pedagogiczna, Katowice 2012</w:t>
            </w:r>
            <w:r w:rsidRPr="006C65D2">
              <w:rPr>
                <w:rFonts w:cstheme="minorHAnsi"/>
                <w:sz w:val="24"/>
                <w:szCs w:val="24"/>
              </w:rPr>
              <w:br/>
              <w:t>Ustawa o pomocy społecznej z dn. 12 marca 2014, http://isap.sejm.gov.pl</w:t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r w:rsidRPr="006C65D2">
              <w:rPr>
                <w:rFonts w:cstheme="minorHAnsi"/>
                <w:b/>
                <w:bCs/>
                <w:sz w:val="24"/>
                <w:szCs w:val="24"/>
              </w:rPr>
              <w:t>Gerontologia społeczna</w:t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Coni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N.,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Davison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W., Webster S., Starzenie się, tłum. J. Lipka, PWN, Warszawa 1994</w:t>
            </w:r>
            <w:r w:rsidRPr="006C65D2">
              <w:rPr>
                <w:rFonts w:cstheme="minorHAnsi"/>
                <w:sz w:val="24"/>
                <w:szCs w:val="24"/>
              </w:rPr>
              <w:br/>
              <w:t>Wiśniewska-Roszkowska K., Nowe życie po sześćdziesiątce, POLWEN, Radom 2003</w:t>
            </w:r>
            <w:r w:rsidRPr="006C65D2">
              <w:rPr>
                <w:rFonts w:cstheme="minorHAnsi"/>
                <w:sz w:val="24"/>
                <w:szCs w:val="24"/>
              </w:rPr>
              <w:br/>
              <w:t xml:space="preserve">Dyczewski L. 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OFMConv,Więź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między pokoleniami w rodzinie,, Lublin 2002</w:t>
            </w:r>
            <w:r w:rsidRPr="006C65D2">
              <w:rPr>
                <w:rFonts w:cstheme="minorHAnsi"/>
                <w:sz w:val="24"/>
                <w:szCs w:val="24"/>
              </w:rPr>
              <w:br/>
              <w:t>Hill R. D., Pozytywne starzenie się. Młodzi duchem w jesieni życia, tłum. M. Lipa, MT Biznes Ltd., Warszawa 2010</w:t>
            </w:r>
            <w:r w:rsidRPr="006C65D2">
              <w:rPr>
                <w:rFonts w:cstheme="minorHAnsi"/>
                <w:sz w:val="24"/>
                <w:szCs w:val="24"/>
              </w:rPr>
              <w:br/>
              <w:t>Leszczyńska-</w:t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Rajchert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A., Człowiek starszy i jego wspomaganie – w stronę pedagogiki starości, Wydawnictwo Uniwersytetu Warmińsko-Mazurskiego, Olsztyn 2005</w:t>
            </w:r>
            <w:r w:rsidRPr="006C65D2">
              <w:rPr>
                <w:rFonts w:cstheme="minorHAnsi"/>
                <w:sz w:val="24"/>
                <w:szCs w:val="24"/>
              </w:rPr>
              <w:br/>
              <w:t>Jan Paweł II, List do osób w podeszłym wieku, Rzym 1999</w:t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sz w:val="24"/>
                <w:szCs w:val="24"/>
              </w:rPr>
              <w:t>Steuden</w:t>
            </w:r>
            <w:proofErr w:type="spellEnd"/>
            <w:r w:rsidRPr="006C65D2">
              <w:rPr>
                <w:rFonts w:cstheme="minorHAnsi"/>
                <w:sz w:val="24"/>
                <w:szCs w:val="24"/>
              </w:rPr>
              <w:t xml:space="preserve"> S., Psychologia starzenia się i starości, PWN, Warszawa 2011</w:t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r w:rsidRPr="006C65D2">
              <w:rPr>
                <w:rFonts w:cstheme="minorHAnsi"/>
                <w:sz w:val="24"/>
                <w:szCs w:val="24"/>
              </w:rPr>
              <w:br/>
            </w:r>
            <w:r w:rsidRPr="006C65D2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AD4992" w:rsidRPr="006C65D2" w14:paraId="78D8F0EF" w14:textId="77777777">
        <w:tc>
          <w:tcPr>
            <w:tcW w:w="9062" w:type="dxa"/>
          </w:tcPr>
          <w:p w14:paraId="6A0FBD2A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C65D2">
              <w:rPr>
                <w:rFonts w:cstheme="minorHAnsi"/>
                <w:sz w:val="24"/>
                <w:szCs w:val="24"/>
              </w:rPr>
              <w:t>Literatura uzupełniająca</w:t>
            </w:r>
          </w:p>
        </w:tc>
      </w:tr>
      <w:tr w:rsidR="00AD4992" w:rsidRPr="006C65D2" w14:paraId="57C42ABC" w14:textId="77777777">
        <w:tc>
          <w:tcPr>
            <w:tcW w:w="9062" w:type="dxa"/>
          </w:tcPr>
          <w:p w14:paraId="35A00A9E" w14:textId="77777777" w:rsidR="00AD4992" w:rsidRPr="006C65D2" w:rsidRDefault="00000000">
            <w:pPr>
              <w:widowControl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65D2">
              <w:rPr>
                <w:rFonts w:cstheme="minorHAnsi"/>
                <w:bCs/>
                <w:sz w:val="24"/>
                <w:szCs w:val="24"/>
              </w:rPr>
              <w:t>Szarota Z., Gerontologia społeczna i oświatowa, Wydawnictwo Naukowe Akademii Pedagogicznej, Kraków 2004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Szatur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-Jaworska B., Błędowski P., Dzięgielewska M., Podstawy gerontologii społecznej, Oficyna Wydawnicza </w:t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Aspra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 – Jr, Warszawa 2006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lastRenderedPageBreak/>
              <w:t>Slipko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 T. SJ Sens życia - sens starości według chrześcijaństwa, </w:t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Ethos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 nr 47:1999, s.15-28;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Trafiałek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 E., Starzenie się i starość. Wybór tekstów z gerontologii społecznej, Wszechnica Świętokrzyska, Kielce 2006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Uzar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 xml:space="preserve"> K., Wychowanie w perspektywie starości. Personalistyczne podstawy </w:t>
            </w:r>
            <w:proofErr w:type="spellStart"/>
            <w:r w:rsidRPr="006C65D2">
              <w:rPr>
                <w:rFonts w:cstheme="minorHAnsi"/>
                <w:bCs/>
                <w:sz w:val="24"/>
                <w:szCs w:val="24"/>
              </w:rPr>
              <w:t>geragogiki</w:t>
            </w:r>
            <w:proofErr w:type="spellEnd"/>
            <w:r w:rsidRPr="006C65D2">
              <w:rPr>
                <w:rFonts w:cstheme="minorHAnsi"/>
                <w:bCs/>
                <w:sz w:val="24"/>
                <w:szCs w:val="24"/>
              </w:rPr>
              <w:t>, Wyd. KUL, Lublin 2011.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Zaorska Z., Dodać życia do lat. Materiały metodyczne ułatwiające organizację różnych form aktywności wśród osób starszych oraz w grupach wielopokoleniowych, Wydawnictwo KLANZA, Lublin 2012</w:t>
            </w:r>
            <w:r w:rsidRPr="006C65D2">
              <w:rPr>
                <w:rFonts w:cstheme="minorHAnsi"/>
                <w:bCs/>
                <w:sz w:val="24"/>
                <w:szCs w:val="24"/>
              </w:rPr>
              <w:br/>
              <w:t>Zych A., Leksykon gerontologii społecznej, Impuls, Kraków 2011</w:t>
            </w:r>
          </w:p>
        </w:tc>
      </w:tr>
    </w:tbl>
    <w:p w14:paraId="1BA8583F" w14:textId="77777777" w:rsidR="00AD4992" w:rsidRPr="006C65D2" w:rsidRDefault="00AD4992">
      <w:pPr>
        <w:spacing w:after="0"/>
        <w:rPr>
          <w:rFonts w:cstheme="minorHAnsi"/>
          <w:b/>
          <w:sz w:val="24"/>
          <w:szCs w:val="24"/>
        </w:rPr>
      </w:pPr>
    </w:p>
    <w:p w14:paraId="244E3C95" w14:textId="77777777" w:rsidR="00AD4992" w:rsidRPr="006C65D2" w:rsidRDefault="00AD4992">
      <w:pPr>
        <w:rPr>
          <w:rFonts w:cstheme="minorHAnsi"/>
          <w:sz w:val="24"/>
          <w:szCs w:val="24"/>
        </w:rPr>
      </w:pPr>
    </w:p>
    <w:p w14:paraId="6876F5D8" w14:textId="77777777" w:rsidR="00AD4992" w:rsidRPr="006C65D2" w:rsidRDefault="00AD4992">
      <w:pPr>
        <w:jc w:val="both"/>
        <w:rPr>
          <w:rFonts w:cstheme="minorHAnsi"/>
          <w:sz w:val="24"/>
          <w:szCs w:val="24"/>
        </w:rPr>
      </w:pPr>
    </w:p>
    <w:p w14:paraId="36C257E1" w14:textId="77777777" w:rsidR="00AD4992" w:rsidRPr="006C65D2" w:rsidRDefault="00AD4992">
      <w:pPr>
        <w:jc w:val="both"/>
        <w:rPr>
          <w:rFonts w:cstheme="minorHAnsi"/>
          <w:sz w:val="24"/>
          <w:szCs w:val="24"/>
        </w:rPr>
      </w:pPr>
    </w:p>
    <w:sectPr w:rsidR="00AD4992" w:rsidRPr="006C65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1407" w14:textId="77777777" w:rsidR="00E01C4D" w:rsidRDefault="00E01C4D">
      <w:pPr>
        <w:spacing w:after="0" w:line="240" w:lineRule="auto"/>
      </w:pPr>
      <w:r>
        <w:separator/>
      </w:r>
    </w:p>
  </w:endnote>
  <w:endnote w:type="continuationSeparator" w:id="0">
    <w:p w14:paraId="5A82613A" w14:textId="77777777" w:rsidR="00E01C4D" w:rsidRDefault="00E0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CCBF" w14:textId="77777777" w:rsidR="00AD4992" w:rsidRDefault="00AD49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66FB" w14:textId="77777777" w:rsidR="00E01C4D" w:rsidRDefault="00E01C4D">
      <w:pPr>
        <w:spacing w:after="0" w:line="240" w:lineRule="auto"/>
      </w:pPr>
      <w:r>
        <w:separator/>
      </w:r>
    </w:p>
  </w:footnote>
  <w:footnote w:type="continuationSeparator" w:id="0">
    <w:p w14:paraId="166D73D5" w14:textId="77777777" w:rsidR="00E01C4D" w:rsidRDefault="00E0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A3BF" w14:textId="77777777" w:rsidR="00AD4992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0446A24B" w14:textId="77777777" w:rsidR="00AD4992" w:rsidRDefault="00AD49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F886"/>
    <w:multiLevelType w:val="hybridMultilevel"/>
    <w:tmpl w:val="ABB006D2"/>
    <w:lvl w:ilvl="0" w:tplc="F46A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A7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1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29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4F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C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C0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C68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775A"/>
    <w:multiLevelType w:val="hybridMultilevel"/>
    <w:tmpl w:val="E2903434"/>
    <w:lvl w:ilvl="0" w:tplc="094A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66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0E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1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89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C9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EA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64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BC7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6D7D"/>
    <w:multiLevelType w:val="hybridMultilevel"/>
    <w:tmpl w:val="866A0AEA"/>
    <w:lvl w:ilvl="0" w:tplc="336E8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E6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6A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0D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A3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3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67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47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CC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EEA0"/>
    <w:multiLevelType w:val="hybridMultilevel"/>
    <w:tmpl w:val="BD667AE2"/>
    <w:lvl w:ilvl="0" w:tplc="C1DA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4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45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E8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3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0E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A7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22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86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245B2"/>
    <w:multiLevelType w:val="hybridMultilevel"/>
    <w:tmpl w:val="EBFE2158"/>
    <w:lvl w:ilvl="0" w:tplc="99C6D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B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2F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B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C3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40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2E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0D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24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68D7"/>
    <w:multiLevelType w:val="hybridMultilevel"/>
    <w:tmpl w:val="E82A1B84"/>
    <w:lvl w:ilvl="0" w:tplc="04C69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65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89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8E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C9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29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6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00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0F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2E80"/>
    <w:multiLevelType w:val="hybridMultilevel"/>
    <w:tmpl w:val="3F7CE8DE"/>
    <w:lvl w:ilvl="0" w:tplc="1DDC0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A6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29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6A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2D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2C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0C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44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847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7BA6"/>
    <w:multiLevelType w:val="hybridMultilevel"/>
    <w:tmpl w:val="609A8EAA"/>
    <w:lvl w:ilvl="0" w:tplc="7D9C3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25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4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AB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6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4A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41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AD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C3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F3F8C"/>
    <w:multiLevelType w:val="multilevel"/>
    <w:tmpl w:val="5F548B3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2852CC6"/>
    <w:multiLevelType w:val="hybridMultilevel"/>
    <w:tmpl w:val="6F9C3830"/>
    <w:lvl w:ilvl="0" w:tplc="DADCB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49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0E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1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CF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E3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0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584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86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CBBA5"/>
    <w:multiLevelType w:val="hybridMultilevel"/>
    <w:tmpl w:val="0270D9E2"/>
    <w:lvl w:ilvl="0" w:tplc="2F145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EE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7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0B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A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64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0D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A2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349CD"/>
    <w:multiLevelType w:val="hybridMultilevel"/>
    <w:tmpl w:val="AFF6EEA8"/>
    <w:lvl w:ilvl="0" w:tplc="3774E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A9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0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4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4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CA4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45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6A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A2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1E826"/>
    <w:multiLevelType w:val="hybridMultilevel"/>
    <w:tmpl w:val="C758F710"/>
    <w:lvl w:ilvl="0" w:tplc="A7A4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66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E4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8A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8F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A8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89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6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6840"/>
    <w:multiLevelType w:val="hybridMultilevel"/>
    <w:tmpl w:val="6094989E"/>
    <w:lvl w:ilvl="0" w:tplc="8362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64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EF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88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A2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0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69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28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80821"/>
    <w:multiLevelType w:val="hybridMultilevel"/>
    <w:tmpl w:val="B0B0BFC4"/>
    <w:lvl w:ilvl="0" w:tplc="6DF81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47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A3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F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44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63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21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A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27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5A531"/>
    <w:multiLevelType w:val="hybridMultilevel"/>
    <w:tmpl w:val="E2A0A2C4"/>
    <w:lvl w:ilvl="0" w:tplc="E68AD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CD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7E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3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C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43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E9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2A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E0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EDF0F"/>
    <w:multiLevelType w:val="hybridMultilevel"/>
    <w:tmpl w:val="9AFEA9EA"/>
    <w:lvl w:ilvl="0" w:tplc="12E2E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7C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03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61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27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4F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09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6A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79EE2"/>
    <w:multiLevelType w:val="hybridMultilevel"/>
    <w:tmpl w:val="E5EAE7B0"/>
    <w:lvl w:ilvl="0" w:tplc="09B26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8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ED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E3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02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2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8D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0C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B4DC5"/>
    <w:multiLevelType w:val="multilevel"/>
    <w:tmpl w:val="A6185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B61581A"/>
    <w:multiLevelType w:val="hybridMultilevel"/>
    <w:tmpl w:val="3B326D16"/>
    <w:lvl w:ilvl="0" w:tplc="7FAC5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02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E5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C3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25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7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ED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0E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4A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68667">
    <w:abstractNumId w:val="8"/>
  </w:num>
  <w:num w:numId="2" w16cid:durableId="91362949">
    <w:abstractNumId w:val="18"/>
  </w:num>
  <w:num w:numId="3" w16cid:durableId="575166478">
    <w:abstractNumId w:val="11"/>
  </w:num>
  <w:num w:numId="4" w16cid:durableId="2078043485">
    <w:abstractNumId w:val="6"/>
  </w:num>
  <w:num w:numId="5" w16cid:durableId="528298152">
    <w:abstractNumId w:val="12"/>
  </w:num>
  <w:num w:numId="6" w16cid:durableId="1995791868">
    <w:abstractNumId w:val="1"/>
  </w:num>
  <w:num w:numId="7" w16cid:durableId="1341006410">
    <w:abstractNumId w:val="19"/>
  </w:num>
  <w:num w:numId="8" w16cid:durableId="1279752533">
    <w:abstractNumId w:val="9"/>
  </w:num>
  <w:num w:numId="9" w16cid:durableId="917522630">
    <w:abstractNumId w:val="2"/>
  </w:num>
  <w:num w:numId="10" w16cid:durableId="1381662377">
    <w:abstractNumId w:val="4"/>
  </w:num>
  <w:num w:numId="11" w16cid:durableId="228420642">
    <w:abstractNumId w:val="10"/>
  </w:num>
  <w:num w:numId="12" w16cid:durableId="1525635897">
    <w:abstractNumId w:val="14"/>
  </w:num>
  <w:num w:numId="13" w16cid:durableId="717822916">
    <w:abstractNumId w:val="15"/>
  </w:num>
  <w:num w:numId="14" w16cid:durableId="1867133354">
    <w:abstractNumId w:val="16"/>
  </w:num>
  <w:num w:numId="15" w16cid:durableId="1603538015">
    <w:abstractNumId w:val="0"/>
  </w:num>
  <w:num w:numId="16" w16cid:durableId="1429082879">
    <w:abstractNumId w:val="17"/>
  </w:num>
  <w:num w:numId="17" w16cid:durableId="1716587156">
    <w:abstractNumId w:val="5"/>
  </w:num>
  <w:num w:numId="18" w16cid:durableId="303199039">
    <w:abstractNumId w:val="13"/>
  </w:num>
  <w:num w:numId="19" w16cid:durableId="322859548">
    <w:abstractNumId w:val="3"/>
  </w:num>
  <w:num w:numId="20" w16cid:durableId="659039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92"/>
    <w:rsid w:val="005F57FD"/>
    <w:rsid w:val="006C65D2"/>
    <w:rsid w:val="00AD4992"/>
    <w:rsid w:val="00E01C4D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C12E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FBC8F-DD8F-43A2-AD88-71D361E61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1B1DA-D04B-4910-8396-781B8568F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1C1FC-9839-4A7A-AF5E-887F49B52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8AF272-602D-4739-B22C-A45914BACC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1258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3</cp:revision>
  <cp:lastPrinted>2019-01-23T11:10:00Z</cp:lastPrinted>
  <dcterms:created xsi:type="dcterms:W3CDTF">2026-03-01T08:52:00Z</dcterms:created>
  <dcterms:modified xsi:type="dcterms:W3CDTF">2026-03-01T08:52:00Z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0x01010077E52F44CD9F4C4C99D900279A1B8303</vt:lpwstr>
  </property>
</Properties>
</file>