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olor w:val="000000"/>
          <w:highlight w:val="none"/>
          <w:shd w:fill="81D41A" w:val="clear"/>
        </w:rPr>
      </w:pPr>
      <w:r>
        <w:rPr>
          <w:b/>
          <w:color w:val="000000"/>
          <w:shd w:fill="81D41A" w:val="clear"/>
        </w:rPr>
        <w:t xml:space="preserve">C.4.1. </w:t>
      </w:r>
    </w:p>
    <w:p>
      <w:pPr>
        <w:pStyle w:val="Normal"/>
        <w:rPr>
          <w:rFonts w:ascii="Calibri" w:hAnsi="Calibri"/>
        </w:rPr>
      </w:pPr>
      <w:r>
        <w:rPr>
          <w:b/>
        </w:rPr>
        <w:t xml:space="preserve">KARTA PRZEDMIOTU 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6"/>
        <w:gridCol w:w="4515"/>
      </w:tblGrid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b/>
                <w:bCs/>
                <w:kern w:val="0"/>
                <w:szCs w:val="22"/>
                <w:lang w:val="pl-PL" w:eastAsia="en-US" w:bidi="ar-SA"/>
              </w:rPr>
              <w:t>Przejście uczniów z niepełnosprawnościami z edukacji na rynek pracy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School to work transition of students with disabilities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Kierunek studiów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Pedagogika specjalna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Jednolite magisterskie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pedagogika</w:t>
            </w:r>
          </w:p>
        </w:tc>
      </w:tr>
      <w:tr>
        <w:trPr/>
        <w:tc>
          <w:tcPr>
            <w:tcW w:w="45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>
          <w:rFonts w:ascii="Calibri" w:hAnsi="Calibri"/>
        </w:rPr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9"/>
        <w:gridCol w:w="4512"/>
      </w:tblGrid>
      <w:tr>
        <w:trPr/>
        <w:tc>
          <w:tcPr>
            <w:tcW w:w="454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Ewa Domagała-Zysk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color w:val="FF0000"/>
                <w:kern w:val="0"/>
                <w:szCs w:val="22"/>
                <w:lang w:val="pl-PL" w:eastAsia="en-US" w:bidi="ar-SA"/>
              </w:rPr>
              <w:t>Od edycji 2025/2026</w:t>
            </w:r>
          </w:p>
        </w:tc>
      </w:tr>
    </w:tbl>
    <w:p>
      <w:pPr>
        <w:pStyle w:val="Normal"/>
        <w:spacing w:before="0" w:after="0"/>
        <w:rPr>
          <w:rFonts w:ascii="Calibri" w:hAnsi="Calibri"/>
        </w:rPr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4</w:t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VII</w:t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22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2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258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Calibri" w:hAnsi="Calibri"/>
        </w:rPr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Calibri" w:hAnsi="Calibri"/>
        </w:rPr>
      </w:pPr>
      <w:r>
        <w:rPr/>
      </w:r>
    </w:p>
    <w:p>
      <w:pPr>
        <w:pStyle w:val="Normal"/>
        <w:spacing w:before="0" w:after="0"/>
        <w:rPr>
          <w:rFonts w:ascii="Calibri" w:hAnsi="Calibri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Celem jest zapoznanie studentów z zagadnieniami przejścia osób z niepełnosprawnościami, w tym szczególnie z niepełnosprawnością intelektualną, z edukacji na rynek pracy. Studenci zapoznają się i praktycznie realizują w ramach zajęć program edukacyjny „Jestem dorosły, chcę pracować”.</w:t>
              <w:br/>
            </w:r>
          </w:p>
        </w:tc>
      </w:tr>
    </w:tbl>
    <w:p>
      <w:pPr>
        <w:pStyle w:val="Normal"/>
        <w:spacing w:before="0" w:after="0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  <w:r>
        <w:br w:type="page"/>
      </w:r>
    </w:p>
    <w:p>
      <w:pPr>
        <w:pStyle w:val="Normal"/>
        <w:spacing w:before="0" w:after="0"/>
        <w:rPr>
          <w:rFonts w:ascii="Calibri" w:hAnsi="Calibri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Efekty uczenia się dla przedmiotu wraz z odniesieniem do efektów kierunkowych</w:t>
      </w:r>
    </w:p>
    <w:p>
      <w:pPr>
        <w:pStyle w:val="Normal"/>
        <w:rPr>
          <w:rFonts w:ascii="Calibri" w:hAnsi="Calibri"/>
        </w:rPr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"/>
        <w:gridCol w:w="5826"/>
        <w:gridCol w:w="2145"/>
      </w:tblGrid>
      <w:tr>
        <w:trPr/>
        <w:tc>
          <w:tcPr>
            <w:tcW w:w="10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Cs w:val="22"/>
                <w:lang w:val="pl-PL" w:eastAsia="en-US" w:bidi="ar-SA"/>
              </w:rPr>
              <w:t xml:space="preserve">Wiedza  - </w:t>
            </w:r>
            <w:r>
              <w:rPr>
                <w:rFonts w:eastAsia="Calibri" w:cs="Arial"/>
                <w:b/>
                <w:bCs/>
                <w:kern w:val="2"/>
                <w:szCs w:val="22"/>
                <w:lang w:val="pl-PL" w:eastAsia="en-US" w:bidi="ar-SA"/>
              </w:rPr>
              <w:t>absolwent zna i rozumie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W_1</w:t>
            </w:r>
          </w:p>
        </w:tc>
        <w:tc>
          <w:tcPr>
            <w:tcW w:w="58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4" w:before="0" w:after="0"/>
              <w:jc w:val="left"/>
              <w:rPr>
                <w:rFonts w:ascii="Calibri" w:hAnsi="Calibri" w:cs="Arial"/>
                <w:lang w:eastAsia="pl-PL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problematykę aktywności zawodowej osób dorosłych z niepełnosprawnościami:  doradztwo zawodowe, system przygotowania do pracy osób dorosłych z niepełnosprawnościami, formy zatrudnienia tych osób w Polsce i innych  państwach (zatrudnienie wspierane, chronione i socjalne), prawno-organizacyjne, środowiskowe i osobowe uwarunkowania aktywności zawodowej osób z niepełnosprawnościami, zakres, specyfikę i dynamikę zatrudniania osób z niepełnosprawnościami w Polsce i innych państwach, zagadnienie przeciwdziałania dyskryminacji osób z niepełnosprawnościami w sferze  zatrudnienia;</w:t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C.4.W4.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W_2</w:t>
            </w:r>
          </w:p>
        </w:tc>
        <w:tc>
          <w:tcPr>
            <w:tcW w:w="58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4" w:before="0" w:after="0"/>
              <w:jc w:val="left"/>
              <w:rPr>
                <w:rFonts w:ascii="Calibri" w:hAnsi="Calibri" w:cs="Arial"/>
                <w:lang w:eastAsia="pl-PL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znaczenie udziału osób dorosłych z niepełnosprawnościami w życiu obywatelskim i projektowania przestrzeni informacyjnej i materialnej, z uwzględnieniem zróżnicowanych możliwości intelektualnych, sensorycznych i ruchowych odbiorców;</w:t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C.4.W6.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W_3</w:t>
            </w:r>
          </w:p>
        </w:tc>
        <w:tc>
          <w:tcPr>
            <w:tcW w:w="58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4" w:before="0" w:after="0"/>
              <w:jc w:val="left"/>
              <w:rPr>
                <w:rFonts w:ascii="Calibri" w:hAnsi="Calibri" w:cs="Arial"/>
                <w:lang w:eastAsia="pl-PL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szczególne problemy osób dorosłych z niepełnosprawnościami i ich rodzin; problem marginalizacji i wykluczenia społecznego osób z niepełnosprawnościami i ich rodzin.</w:t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C.4.W8.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58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4" w:before="0" w:after="0"/>
              <w:jc w:val="left"/>
              <w:rPr>
                <w:rFonts w:ascii="Calibri" w:hAnsi="Calibri" w:cs="Arial"/>
                <w:lang w:eastAsia="pl-PL"/>
              </w:rPr>
            </w:pPr>
            <w:r>
              <w:rPr>
                <w:rFonts w:cs="Arial"/>
                <w:lang w:eastAsia="pl-PL"/>
              </w:rPr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Cs w:val="22"/>
                <w:lang w:val="pl-PL" w:eastAsia="en-US" w:bidi="ar-SA"/>
              </w:rPr>
              <w:t>Umiejętności – absolwent umie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" w:before="0" w:after="0"/>
              <w:jc w:val="left"/>
              <w:rPr>
                <w:rFonts w:ascii="Calibri" w:hAnsi="Calibri" w:cs="Arial"/>
                <w:lang w:eastAsia="pl-PL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rozpoznawać i interpretować złożone problemy społeczne dorosłych osób z niepełnosprawnościami w kontekście przejścia z edukacji do pracy oraz zatrudnienia i utrzymania pracy, ukazując ich powiązania z różnymi obszarami andragogiki specjalnej;</w:t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C.4.U1.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U_02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" w:before="0" w:after="0"/>
              <w:jc w:val="left"/>
              <w:rPr>
                <w:rFonts w:ascii="Calibri" w:hAnsi="Calibri" w:cs="Arial"/>
                <w:lang w:eastAsia="pl-PL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analizować procesy i zjawiska dotyczące funkcjonowania dorosłych i starszych osób z niepełnosprawnościami w kontekście zatrudnienia, planowania kariery zawodowej oraz zatrudnialności, wykorzystując aktualną wiedzę teoretyczną z zakresu andragogiki specjalnej;</w:t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C.4.U2.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U_03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" w:before="0" w:after="0"/>
              <w:jc w:val="left"/>
              <w:rPr>
                <w:rFonts w:ascii="Calibri" w:hAnsi="Calibri" w:cs="Arial"/>
                <w:lang w:eastAsia="pl-PL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analizować własne działania pedagogiczne i wskazywać obszary wymagające modyfikacji oraz wdrażania działań innowacyjnych w pracy z dorosłymi i starszymi osobami z niepełnosprawnościami;</w:t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C.4.U3.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U_04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" w:before="0" w:after="0"/>
              <w:jc w:val="left"/>
              <w:rPr>
                <w:rFonts w:ascii="Calibri" w:hAnsi="Calibri" w:cs="Arial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zaprojektować program wsparcia dorosłych osób z niepełnosprawnościami w kontekście aktywizacji zawodowej oraz wspierania zatrudnialności.</w:t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C.4.U4.</w:t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"/>
                <w:b/>
              </w:rPr>
            </w:pPr>
            <w:r>
              <w:rPr>
                <w:rFonts w:eastAsia="Calibri" w:cs="Arial"/>
                <w:b/>
                <w:kern w:val="0"/>
                <w:szCs w:val="22"/>
                <w:lang w:val="pl-PL" w:eastAsia="en-US" w:bidi="ar-SA"/>
              </w:rPr>
              <w:t>Kompetencje – absolwent jest gotów do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" w:before="0" w:after="0"/>
              <w:jc w:val="left"/>
              <w:rPr>
                <w:rFonts w:ascii="Calibri" w:hAnsi="Calibri" w:cs="Arial"/>
                <w:lang w:eastAsia="pl-PL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zachowania zasad etyki zawodowej;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C.4.K1.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K_02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" w:before="0" w:after="0"/>
              <w:jc w:val="left"/>
              <w:rPr>
                <w:rFonts w:ascii="Calibri" w:hAnsi="Calibri" w:cs="Arial"/>
                <w:lang w:eastAsia="pl-PL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ciągłego poszerzania wiedzy w celu własnego rozwoju zawodowego.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C.4.K2.</w:t>
            </w:r>
          </w:p>
        </w:tc>
      </w:tr>
    </w:tbl>
    <w:p>
      <w:pPr>
        <w:pStyle w:val="ListParagraph"/>
        <w:ind w:left="1080"/>
        <w:rPr>
          <w:rFonts w:ascii="Calibri" w:hAnsi="Calibri"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1. Przygotowanie uczniów z niepełnosprawnościami do pracy zawodowej /funkcjonowania w środowiska pracy w ramach edukacji w szkołach podstawowych i ponadpodstawowych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2. Rodzaje środowisk pracy: Zakłady Pracy Chronionej, Warsztaty Terapii Zajęciowej, Zakłady Aktywności Zawodowej, praca na otwartym rynku pracy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3. Trener pracy – koncepcja, kompetencje, praktyka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4. Zatrudnienie wspomagane – koncepcja i rozwiązania praktyczne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5. Rola PFRON i organizacji pozarządowych we wspieraniu zatrudnienia osób z niepełnosprawnościami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6. Program wspierający przygotowanie uczniów do przejścia na rynek pracy – „Jestem dorosły – chcę pracować”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Style w:val="Hyperlink"/>
                <w:rFonts w:eastAsia="Calibri" w:cs=""/>
                <w:kern w:val="0"/>
                <w:szCs w:val="22"/>
                <w:lang w:val="pl-PL" w:eastAsia="en-US" w:bidi="ar-SA"/>
              </w:rPr>
              <w:t>https://www.kul.pl/jestem-dorosly-chce-pracowac,art_38317.html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- analiza założeń i scenariuszy zajęć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7. Zajęcia praktyczne: przygotowywanie i prezentowanie scenariuszy zajęć wspierających uczniów z niepełnosprawnościami w przejściu z edukacji na rynek pracy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8. Współpraca pedagoga specjalnego z rodzicami uczniów w zakresie wsparcia przygotowywania uczniów do przejścia na rynek pracy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9. Współpraca międzysektorowa – pedagoga specjalnego z instytucjami pozaszkolnymi, organizacjami pozarządowymi, przedsiębiorcami, Urzędami Pracy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10. Asystent osoby z niepełnosprawnością – zadania, zakres wsparcia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11.  Zagraniczne przykłady wspierania tranzycji osób z niepełnosprawnościami z edukacji na rynek pracy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Kanada: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Style w:val="Hyperlink"/>
                <w:rFonts w:eastAsia="Calibri" w:cs=""/>
                <w:kern w:val="0"/>
                <w:szCs w:val="22"/>
                <w:lang w:val="pl-PL" w:eastAsia="en-US" w:bidi="ar-SA"/>
              </w:rPr>
              <w:t>https://cdss.ca/resources/employment/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Wielka Brytania: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Style w:val="Hyperlink"/>
                <w:rFonts w:eastAsia="Calibri" w:cs=""/>
                <w:kern w:val="0"/>
                <w:szCs w:val="22"/>
                <w:lang w:val="pl-PL" w:eastAsia="en-US" w:bidi="ar-SA"/>
              </w:rPr>
              <w:t>https://www.downs-syndrome.org.uk/about-downs-syndrome/lifes-journey/employment/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12. Innowacyjne rozwiązania w zakresie wspierania osób z niepełnosprawnościami na rynku pracy – przykłady dobrych praktyk.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rFonts w:ascii="Calibri" w:hAnsi="Calibri"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"/>
        <w:gridCol w:w="2647"/>
        <w:gridCol w:w="2782"/>
        <w:gridCol w:w="2541"/>
      </w:tblGrid>
      <w:tr>
        <w:trPr/>
        <w:tc>
          <w:tcPr>
            <w:tcW w:w="10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7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5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i/>
                <w:kern w:val="0"/>
                <w:szCs w:val="22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Mini-wykład, analiza literatury, analiza materiałów online, praca w grupie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Odpowiedź ustna I informacja zwrotna od prowadzacego,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pl-PL"/>
              </w:rPr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W_02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Mini-wykład, analiza literatury, analiza materiałów online,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praca w grupie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Odpowiedź ustna I informacja zwrotna od prowadzacego,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pl-PL"/>
              </w:rPr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W_03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Mini-wykład, analiza literatury, analiza materiałów online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praca w grupie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Odpowiedź ustna I informacja zwrotna od prowadzacego,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W_04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Mini-wykład, analiza literatury, analiza materiałów online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praca w grupie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Odpowiedź ustna I informacja zwrotna od prowadzacego,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Problem-based learning, studium przypadku,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scenariusz zajęć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U_02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Problem-based learning, studium przypadku,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scenariusz zajęć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U_03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Problem-based learning, studium przypadku,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scenariusz zajęć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U_04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Problem-based learning, studium przypadku,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scenariusz zajęć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Dyskusja, praca w grupach, praca w parach,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Odpowiedź ustna w czasie zajęć</w:t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kern w:val="0"/>
                <w:szCs w:val="22"/>
                <w:lang w:val="pl-PL"/>
              </w:rPr>
            </w:pPr>
            <w:r>
              <w:rPr>
                <w:kern w:val="0"/>
                <w:szCs w:val="22"/>
                <w:lang w:val="en-US"/>
              </w:rPr>
              <w:t>Zapis w arkuszu ocen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K_02</w:t>
            </w:r>
          </w:p>
        </w:tc>
        <w:tc>
          <w:tcPr>
            <w:tcW w:w="26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Dyskusja, praca w grupach, praca w parach,</w:t>
            </w:r>
          </w:p>
        </w:tc>
        <w:tc>
          <w:tcPr>
            <w:tcW w:w="27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Odpowiedź ustna w czasie zajęć</w:t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kern w:val="0"/>
                <w:szCs w:val="22"/>
                <w:lang w:val="en-US"/>
              </w:rPr>
              <w:t>Zapis w arkuszu ocen</w:t>
            </w:r>
          </w:p>
        </w:tc>
      </w:tr>
    </w:tbl>
    <w:p>
      <w:pPr>
        <w:pStyle w:val="Normal"/>
        <w:spacing w:before="0" w:after="0"/>
        <w:rPr>
          <w:rFonts w:ascii="Calibri" w:hAnsi="Calibri"/>
        </w:rPr>
      </w:pPr>
      <w:r>
        <w:rPr/>
      </w:r>
    </w:p>
    <w:p>
      <w:pPr>
        <w:pStyle w:val="ListParagraph"/>
        <w:ind w:left="1080"/>
        <w:rPr>
          <w:rFonts w:ascii="Calibri" w:hAnsi="Calibri"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Kryteria oceny</w:t>
      </w:r>
    </w:p>
    <w:p>
      <w:pPr>
        <w:pStyle w:val="ListParagraph"/>
        <w:numPr>
          <w:ilvl w:val="0"/>
          <w:numId w:val="0"/>
        </w:numPr>
        <w:ind w:hanging="0" w:left="1080"/>
        <w:rPr>
          <w:rFonts w:ascii="Calibri" w:hAnsi="Calibri"/>
        </w:rPr>
      </w:pPr>
      <w:r>
        <w:rPr>
          <w:b/>
        </w:rPr>
        <w:t xml:space="preserve">wagi: </w:t>
      </w:r>
    </w:p>
    <w:p>
      <w:pPr>
        <w:pStyle w:val="ListParagraph"/>
        <w:numPr>
          <w:ilvl w:val="0"/>
          <w:numId w:val="0"/>
        </w:numPr>
        <w:ind w:hanging="0" w:left="1080"/>
        <w:rPr>
          <w:rFonts w:ascii="Calibri" w:hAnsi="Calibri"/>
          <w:b w:val="false"/>
          <w:bCs w:val="false"/>
        </w:rPr>
      </w:pPr>
      <w:r>
        <w:rPr>
          <w:b w:val="false"/>
          <w:bCs w:val="false"/>
        </w:rPr>
        <w:t>aktywna obecność na zajęciach – 30%</w:t>
      </w:r>
    </w:p>
    <w:p>
      <w:pPr>
        <w:pStyle w:val="ListParagraph"/>
        <w:numPr>
          <w:ilvl w:val="0"/>
          <w:numId w:val="0"/>
        </w:numPr>
        <w:ind w:hanging="0" w:left="1080"/>
        <w:rPr>
          <w:rFonts w:ascii="Calibri" w:hAnsi="Calibri"/>
          <w:b w:val="false"/>
          <w:bCs w:val="false"/>
        </w:rPr>
      </w:pPr>
      <w:r>
        <w:rPr>
          <w:b w:val="false"/>
          <w:bCs w:val="false"/>
        </w:rPr>
        <w:t xml:space="preserve">przygotowanie i przedstawienie scenariusza zajęć dla młodzieży z NI przygotowującej się do przejścia na rynek pracy (wraz z pomocami dydaktycznymi) – </w:t>
      </w:r>
      <w:r>
        <w:rPr>
          <w:b w:val="false"/>
          <w:bCs w:val="false"/>
        </w:rPr>
        <w:t>70%</w:t>
      </w:r>
    </w:p>
    <w:p>
      <w:pPr>
        <w:pStyle w:val="ListParagraph"/>
        <w:rPr>
          <w:rFonts w:ascii="Calibri" w:hAnsi="Calibri"/>
        </w:rPr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 xml:space="preserve">ocena bardzo dobra (5) 90-100%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 xml:space="preserve">ocena dobra plus (4,5) 80-89,9%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 xml:space="preserve">ocena dobra (4,0) 70-79,9%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 xml:space="preserve">ocena dostateczna plus (3,5) 60-69,9%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>ocena dostateczna (3) 50-59,9%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/>
        </w:rPr>
      </w:pPr>
      <w:r>
        <w:rPr>
          <w:rFonts w:cs="Calibri"/>
        </w:rPr>
        <w:t>ocena niedostateczna (2,0) &lt; 50%</w:t>
      </w:r>
    </w:p>
    <w:p>
      <w:pPr>
        <w:pStyle w:val="BodyText"/>
        <w:widowControl w:val="false"/>
        <w:suppressAutoHyphens w:val="true"/>
        <w:spacing w:lineRule="auto" w:line="240" w:before="0" w:after="0"/>
        <w:jc w:val="left"/>
        <w:rPr>
          <w:rFonts w:cs="Calibri"/>
          <w:color w:val="000000"/>
          <w:sz w:val="24"/>
          <w:szCs w:val="24"/>
        </w:rPr>
      </w:pPr>
      <w:r>
        <w:rPr/>
      </w:r>
    </w:p>
    <w:p>
      <w:pPr>
        <w:pStyle w:val="ListParagraph"/>
        <w:rPr>
          <w:rFonts w:ascii="Calibri" w:hAnsi="Calibri"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2"/>
      </w:tblGrid>
      <w:tr>
        <w:trPr/>
        <w:tc>
          <w:tcPr>
            <w:tcW w:w="45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Liczba godzin kontaktowych z nauczycielem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5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b/>
                <w:kern w:val="0"/>
                <w:szCs w:val="22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5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5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b/>
                <w:kern w:val="0"/>
                <w:szCs w:val="22"/>
                <w:lang w:val="pl-PL" w:eastAsia="en-US" w:bidi="ar-SA"/>
              </w:rPr>
              <w:t>30</w:t>
            </w:r>
          </w:p>
        </w:tc>
      </w:tr>
    </w:tbl>
    <w:p>
      <w:pPr>
        <w:pStyle w:val="Normal"/>
        <w:spacing w:before="0" w:after="0"/>
        <w:rPr>
          <w:rFonts w:ascii="Calibri" w:hAnsi="Calibri"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ind w:hanging="363" w:left="363"/>
              <w:jc w:val="both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pl-PL" w:eastAsia="pl-PL" w:bidi="ar-SA"/>
              </w:rPr>
              <w:t xml:space="preserve">Otrębski W., Wiącek G., Domagała-Zyśk E., Sidor-Piekarska B. (2012).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Cs w:val="22"/>
                <w:lang w:val="pl-PL" w:eastAsia="pl-PL" w:bidi="ar-SA"/>
              </w:rPr>
              <w:t>Jestem dorosły- chcę pracować. Program wspierający młodzież z niepełnosprawnością umysłową w procesie przejścia z edukacji na rynek pracy</w:t>
            </w:r>
            <w:r>
              <w:rPr>
                <w:rFonts w:eastAsia="Times New Roman" w:cs="Times New Roman"/>
                <w:color w:val="000000"/>
                <w:kern w:val="0"/>
                <w:szCs w:val="22"/>
                <w:lang w:val="pl-PL" w:eastAsia="pl-PL" w:bidi="ar-SA"/>
              </w:rPr>
              <w:t>. Lublin, ss.273.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363" w:left="363"/>
              <w:jc w:val="both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Style w:val="Hyperlink"/>
                <w:rFonts w:eastAsia="Times New Roman" w:cs="Times New Roman"/>
                <w:color w:val="000000"/>
                <w:kern w:val="0"/>
                <w:szCs w:val="22"/>
                <w:u w:val="none"/>
                <w:lang w:val="pl-PL" w:eastAsia="pl-PL" w:bidi="ar-SA"/>
              </w:rPr>
              <w:t xml:space="preserve">Domagała-Zyśk E. (2015). Relacje społeczne osób niesłyszących i słabosłyszących w środowisku pracy. </w:t>
            </w:r>
            <w:r>
              <w:rPr>
                <w:rStyle w:val="Hyperlink"/>
                <w:rFonts w:eastAsia="Times New Roman" w:cs="Times New Roman"/>
                <w:i/>
                <w:color w:val="000000"/>
                <w:kern w:val="0"/>
                <w:szCs w:val="22"/>
                <w:u w:val="none"/>
                <w:lang w:val="pl-PL" w:eastAsia="pl-PL" w:bidi="ar-SA"/>
              </w:rPr>
              <w:t>Człowiek-Niepełnosprawność-Społeczeństwo</w:t>
            </w:r>
            <w:r>
              <w:rPr>
                <w:rStyle w:val="Hyperlink"/>
                <w:rFonts w:eastAsia="Times New Roman" w:cs="Times New Roman"/>
                <w:color w:val="000000"/>
                <w:kern w:val="0"/>
                <w:szCs w:val="22"/>
                <w:u w:val="none"/>
                <w:lang w:val="pl-PL" w:eastAsia="pl-PL" w:bidi="ar-SA"/>
              </w:rPr>
              <w:t>, 1(27), 61-72. (10 pkt)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363" w:left="363"/>
              <w:jc w:val="both"/>
              <w:rPr>
                <w:rStyle w:val="Hyperlink"/>
                <w:rFonts w:cs="TimesNewRomanPSMT"/>
                <w:color w:val="000000"/>
                <w:u w:val="none"/>
              </w:rPr>
            </w:pPr>
            <w:r>
              <w:rPr>
                <w:rStyle w:val="Hyperlink"/>
                <w:rFonts w:eastAsia="Times New Roman" w:cs="Times New Roman"/>
                <w:color w:val="000000"/>
                <w:kern w:val="0"/>
                <w:szCs w:val="22"/>
                <w:u w:val="none"/>
                <w:lang w:val="pl-PL" w:eastAsia="pl-PL" w:bidi="ar-SA"/>
              </w:rPr>
              <w:t xml:space="preserve">Domagała-Zyśk E. (2015). </w:t>
            </w:r>
            <w:r>
              <w:rPr>
                <w:rStyle w:val="Hyperlink"/>
                <w:rFonts w:eastAsia="Calibri" w:cs="TimesNewRomanPS-ItalicMT"/>
                <w:i/>
                <w:iCs/>
                <w:color w:val="000000"/>
                <w:kern w:val="0"/>
                <w:szCs w:val="22"/>
                <w:u w:val="none"/>
                <w:lang w:val="pl-PL" w:eastAsia="en-US" w:bidi="ar-SA"/>
              </w:rPr>
              <w:t>Postrzeganie pracy przez osoby niesłyszące</w:t>
            </w:r>
            <w:r>
              <w:rPr>
                <w:rStyle w:val="Hyperlink"/>
                <w:rFonts w:eastAsia="Calibri" w:cs="Times New Roman"/>
                <w:color w:val="000000"/>
                <w:kern w:val="0"/>
                <w:szCs w:val="22"/>
                <w:u w:val="none"/>
                <w:lang w:val="pl-PL" w:eastAsia="en-US" w:bidi="ar-SA"/>
              </w:rPr>
              <w:t xml:space="preserve"> </w:t>
            </w:r>
            <w:r>
              <w:rPr>
                <w:rStyle w:val="Hyperlink"/>
                <w:rFonts w:eastAsia="Calibri" w:cs="TimesNewRomanPS-ItalicMT"/>
                <w:i/>
                <w:iCs/>
                <w:color w:val="000000"/>
                <w:kern w:val="0"/>
                <w:szCs w:val="22"/>
                <w:u w:val="none"/>
                <w:lang w:val="pl-PL" w:eastAsia="en-US" w:bidi="ar-SA"/>
              </w:rPr>
              <w:t xml:space="preserve">i słabosłyszące. </w:t>
            </w:r>
            <w:r>
              <w:rPr>
                <w:rStyle w:val="Hyperlink"/>
                <w:rFonts w:eastAsia="Calibri" w:cs="TimesNewRomanPS-ItalicMT"/>
                <w:i/>
                <w:iCs/>
                <w:color w:val="000000"/>
                <w:kern w:val="0"/>
                <w:szCs w:val="22"/>
                <w:u w:val="none"/>
                <w:lang w:val="en-US" w:eastAsia="en-US" w:bidi="ar-SA"/>
              </w:rPr>
              <w:t xml:space="preserve">Annales Universitatis Mariae Curie-Sklodowska, Sectio J - Pedagogika, </w:t>
            </w:r>
            <w:r>
              <w:rPr>
                <w:rStyle w:val="Hyperlink"/>
                <w:rFonts w:eastAsia="Calibri" w:cs="TimesNewRomanPSMT"/>
                <w:color w:val="000000"/>
                <w:kern w:val="0"/>
                <w:szCs w:val="22"/>
                <w:u w:val="none"/>
                <w:lang w:val="en-US" w:eastAsia="en-US" w:bidi="ar-SA"/>
              </w:rPr>
              <w:t>VOL. XXVIII, 1</w:t>
            </w:r>
            <w:r>
              <w:rPr>
                <w:rStyle w:val="Hyperlink"/>
                <w:rFonts w:eastAsia="Calibri" w:cs="TimesNewRomanPS-ItalicMT"/>
                <w:i/>
                <w:iCs/>
                <w:color w:val="000000"/>
                <w:kern w:val="0"/>
                <w:szCs w:val="22"/>
                <w:u w:val="none"/>
                <w:lang w:val="en-US" w:eastAsia="en-US" w:bidi="ar-SA"/>
              </w:rPr>
              <w:t xml:space="preserve">, </w:t>
            </w:r>
            <w:r>
              <w:rPr>
                <w:rStyle w:val="Hyperlink"/>
                <w:rFonts w:eastAsia="Calibri" w:cs="TimesNewRomanPS-ItalicMT"/>
                <w:iCs/>
                <w:color w:val="000000"/>
                <w:kern w:val="0"/>
                <w:szCs w:val="22"/>
                <w:u w:val="none"/>
                <w:lang w:val="en-US" w:eastAsia="en-US" w:bidi="ar-SA"/>
              </w:rPr>
              <w:t>163-177</w:t>
            </w:r>
            <w:r>
              <w:rPr>
                <w:rStyle w:val="Hyperlink"/>
                <w:rFonts w:eastAsia="Calibri" w:cs="TimesNewRomanPS-ItalicMT"/>
                <w:i/>
                <w:iCs/>
                <w:color w:val="000000"/>
                <w:kern w:val="0"/>
                <w:szCs w:val="22"/>
                <w:u w:val="none"/>
                <w:lang w:val="en-US" w:eastAsia="en-US" w:bidi="ar-SA"/>
              </w:rPr>
              <w:t xml:space="preserve">. </w:t>
            </w:r>
            <w:r>
              <w:rPr>
                <w:rStyle w:val="Hyperlink"/>
                <w:rFonts w:eastAsia="Calibri" w:cs="TimesNewRomanPS-ItalicMT"/>
                <w:iCs/>
                <w:color w:val="000000"/>
                <w:kern w:val="0"/>
                <w:szCs w:val="22"/>
                <w:u w:val="none"/>
                <w:lang w:val="pl-PL" w:eastAsia="en-US" w:bidi="ar-SA"/>
              </w:rPr>
              <w:t xml:space="preserve">Doi: </w:t>
            </w:r>
            <w:r>
              <w:rPr>
                <w:rStyle w:val="Hyperlink"/>
                <w:rFonts w:eastAsia="Calibri" w:cs="TimesNewRomanPSMT"/>
                <w:color w:val="000000"/>
                <w:kern w:val="0"/>
                <w:szCs w:val="22"/>
                <w:u w:val="none"/>
                <w:lang w:val="pl-PL" w:eastAsia="en-US" w:bidi="ar-SA"/>
              </w:rPr>
              <w:t>10.17951/j.2015.28.1. (8 pkt)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363" w:left="363"/>
              <w:jc w:val="both"/>
              <w:rPr>
                <w:rFonts w:cs="TimesNewRomanPSMT"/>
                <w:color w:val="000000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Ochońska M. (2023). Rola trenera pracy w zakładzie aktywności zawodowej – propozycje działań w ramach prowadzonej rehabilitacji zawodowej osób z niepełnosprawnościami na podstawie modelu zatrudnienia wspomaganego. Kultura- Społeczeństwo-Edukacja 2, 163,187.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363" w:left="363"/>
              <w:jc w:val="both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</w:r>
          </w:p>
          <w:p>
            <w:pPr>
              <w:pStyle w:val="Heading1"/>
              <w:widowControl w:val="false"/>
              <w:tabs>
                <w:tab w:val="clear" w:pos="708"/>
                <w:tab w:val="left" w:pos="5130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Times New Roman" w:cs="Arial"/>
                <w:color w:val="333333"/>
                <w:lang w:eastAsia="pl-PL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PFRON </w:t>
            </w:r>
            <w:hyperlink r:id="rId2">
              <w:r>
                <w:rPr>
                  <w:rStyle w:val="Style8"/>
                  <w:rFonts w:eastAsia="Calibri" w:cs=""/>
                  <w:color w:val="0000FF"/>
                  <w:kern w:val="0"/>
                  <w:szCs w:val="22"/>
                  <w:u w:val="single"/>
                  <w:lang w:val="pl-PL" w:eastAsia="en-US" w:bidi="ar-SA"/>
                </w:rPr>
                <w:t>https://www.pfron.org.pl/o-funduszu/programy-i-zadania-pfron/programy-ktorych-reali/trener-pracy/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Times New Roman" w:cs="Arial"/>
                <w:color w:val="333333"/>
                <w:lang w:eastAsia="pl-PL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>Fundacja Fuga Mundi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Times New Roman" w:cs="Arial"/>
                <w:color w:val="333333"/>
                <w:lang w:eastAsia="pl-PL"/>
              </w:rPr>
            </w:pPr>
            <w:r>
              <w:rPr>
                <w:rStyle w:val="Hyperlink"/>
                <w:rFonts w:eastAsia="Calibri" w:cs=""/>
                <w:kern w:val="0"/>
                <w:szCs w:val="22"/>
                <w:lang w:val="pl-PL" w:eastAsia="en-US" w:bidi="ar-SA"/>
              </w:rPr>
              <w:t>https://www.ffm.pl/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Times New Roman" w:cs="Arial"/>
                <w:color w:val="333333"/>
                <w:lang w:eastAsia="pl-PL"/>
              </w:rPr>
            </w:pPr>
            <w:r>
              <w:rPr>
                <w:rFonts w:eastAsia="Times New Roman" w:cs="Arial" w:ascii="Arial" w:hAnsi="Arial"/>
                <w:color w:val="333333"/>
                <w:lang w:eastAsia="pl-PL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/>
          <w:b/>
        </w:rPr>
      </w:pPr>
      <w:r>
        <w:rPr>
          <w:b/>
        </w:rPr>
      </w:r>
    </w:p>
    <w:p>
      <w:pPr>
        <w:pStyle w:val="Normal"/>
        <w:rPr>
          <w:rFonts w:ascii="Calibri" w:hAnsi="Calibri"/>
        </w:rPr>
      </w:pPr>
      <w:r>
        <w:rPr/>
        <w:t>WAŻNE:</w:t>
      </w:r>
    </w:p>
    <w:p>
      <w:pPr>
        <w:pStyle w:val="Normal"/>
        <w:rPr>
          <w:rFonts w:ascii="Calibri" w:hAnsi="Calibri"/>
        </w:rPr>
      </w:pPr>
      <w:r>
        <w:rPr/>
        <w:t>W ramach zajęć przewidziane są wizyty studyjne w Centrum Rozwoju i Integracji Społecznej Osób z Niepełnosprawnością Intelektualną w Lublinie, ul. Głowackiego 26a</w:t>
      </w:r>
    </w:p>
    <w:p>
      <w:pPr>
        <w:pStyle w:val="Normal"/>
        <w:rPr>
          <w:rFonts w:ascii="Calibri" w:hAnsi="Calibri"/>
        </w:rPr>
      </w:pPr>
      <w:r>
        <w:rPr/>
        <w:t>W ramach zajęć przewidziana jest wizyta uczestników zajęć CRIS w KUL</w:t>
      </w:r>
    </w:p>
    <w:p>
      <w:pPr>
        <w:pStyle w:val="Normal"/>
        <w:rPr>
          <w:rFonts w:ascii="Calibri" w:hAnsi="Calibri"/>
        </w:rPr>
      </w:pPr>
      <w:r>
        <w:rPr/>
        <w:t xml:space="preserve">Narzędzia diagnostyczne wykorzystywane na zajęciach: </w:t>
      </w:r>
    </w:p>
    <w:p>
      <w:pPr>
        <w:pStyle w:val="Normal"/>
        <w:rPr>
          <w:rFonts w:ascii="Calibri" w:hAnsi="Calibri"/>
        </w:rPr>
      </w:pPr>
      <w:r>
        <w:rPr/>
        <w:t>1. ABAS-3 (wersja dla osób dorosłych)</w:t>
      </w:r>
    </w:p>
    <w:p>
      <w:pPr>
        <w:pStyle w:val="Normal"/>
        <w:rPr>
          <w:rFonts w:ascii="Calibri" w:hAnsi="Calibri"/>
        </w:rPr>
      </w:pPr>
      <w:r>
        <w:rPr/>
        <w:t>2. Skala PAC Gunzberga w opracowaniu T. Witkowskiego</w:t>
      </w:r>
    </w:p>
    <w:p>
      <w:pPr>
        <w:pStyle w:val="Normal"/>
        <w:rPr>
          <w:rFonts w:ascii="Calibri" w:hAnsi="Calibri"/>
        </w:rPr>
      </w:pPr>
      <w:r>
        <w:rPr/>
        <w:t>3. Skala Przystosowania do sytuacji pracy osób z niepełnosprawnością umysłową</w:t>
      </w:r>
    </w:p>
    <w:p>
      <w:pPr>
        <w:pStyle w:val="Normal"/>
        <w:rPr/>
      </w:pPr>
      <w:hyperlink r:id="rId3">
        <w:r>
          <w:rPr>
            <w:rStyle w:val="Style8"/>
            <w:color w:val="0000FF"/>
            <w:u w:val="single"/>
          </w:rPr>
          <w:t>https://www.kul.pl/jestem-dorosly-chce-pracowac,art_38317.html</w:t>
        </w:r>
      </w:hyperlink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  <w:t xml:space="preserve">Programy edukacyjne wykorzystywane na zajęciach: </w:t>
      </w:r>
    </w:p>
    <w:p>
      <w:pPr>
        <w:pStyle w:val="Normal"/>
        <w:widowControl w:val="false"/>
        <w:spacing w:lineRule="auto" w:line="240" w:beforeAutospacing="1" w:after="0"/>
        <w:ind w:hanging="363" w:left="363"/>
        <w:jc w:val="both"/>
        <w:rPr>
          <w:rFonts w:ascii="Calibri" w:hAnsi="Calibri"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Jestem dorosły- chcę pracować. Program wspierający młodzież z niepełnosprawnością umysłową w procesie przejścia z edukacji na rynek pracy (Otrębski W., Wiącek G., Domagała-Zyśk E., Sidor-Piekarska B. 2012).</w:t>
      </w:r>
    </w:p>
    <w:p>
      <w:pPr>
        <w:pStyle w:val="Normal"/>
        <w:rPr>
          <w:rFonts w:ascii="Calibri" w:hAnsi="Calibri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/>
          <w:highlight w:val="green"/>
        </w:rPr>
      </w:pPr>
      <w:r>
        <w:rPr>
          <w:highlight w:val="green"/>
        </w:rPr>
        <w:t>Weryfikacja koordynator kierunku</w:t>
      </w:r>
      <w:r>
        <w:rPr/>
        <w:t xml:space="preserve"> </w:t>
      </w:r>
    </w:p>
    <w:p>
      <w:pPr>
        <w:pStyle w:val="Normal"/>
        <w:spacing w:before="0" w:after="200"/>
        <w:rPr>
          <w:rFonts w:ascii="Calibri" w:hAnsi="Calibri"/>
          <w:highlight w:val="green"/>
        </w:rPr>
      </w:pPr>
      <w:r>
        <w:rPr>
          <w:highlight w:val="green"/>
        </w:rPr>
        <w:t>EDZ 2.01.2026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Arial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yperlink" w:customStyle="1">
    <w:name w:val="Hyperlink"/>
    <w:uiPriority w:val="99"/>
    <w:unhideWhenUsed/>
    <w:qFormat/>
    <w:rsid w:val="00d406f6"/>
    <w:rPr>
      <w:color w:val="000080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" w:customStyle="1">
    <w:name w:val="Body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l-PL" w:eastAsia="zh-CN" w:bidi="hi-IN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fron.org.pl/o-funduszu/programy-i-zadania-pfron/programy-ktorych-reali/trener-pracy/" TargetMode="External"/><Relationship Id="rId3" Type="http://schemas.openxmlformats.org/officeDocument/2006/relationships/hyperlink" Target="https://www.kul.pl/jestem-dorosly-chce-pracowac,art_38317.htm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B760-6F5D-4597-9C83-D060BB954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D8992-F57A-46AC-9F67-A74FE8DC8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9237B-B415-46D7-8370-E7E95814C4FD}"/>
</file>

<file path=customXml/itemProps4.xml><?xml version="1.0" encoding="utf-8"?>
<ds:datastoreItem xmlns:ds="http://schemas.openxmlformats.org/officeDocument/2006/customXml" ds:itemID="{986EF5ED-E371-4616-B146-500AFE0D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LibreOffice/25.2.0.3$Windows_X86_64 LibreOffice_project/e1cf4a87eb02d755bce1a01209907ea5ddc8f069</Application>
  <AppVersion>15.0000</AppVersion>
  <Pages>5</Pages>
  <Words>1070</Words>
  <Characters>7847</Characters>
  <CharactersWithSpaces>8747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/>
  <cp:revision>22</cp:revision>
  <cp:lastPrinted>2019-01-23T11:10:00Z</cp:lastPrinted>
  <dcterms:created xsi:type="dcterms:W3CDTF">2019-06-14T06:38:00Z</dcterms:created>
  <dcterms:modified xsi:type="dcterms:W3CDTF">2026-01-17T16:27:41Z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