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EB7A88" wp14:paraId="38F5E9C3" wp14:textId="54A9AA81">
      <w:pPr>
        <w:spacing w:before="0" w:beforeAutospacing="off" w:after="200" w:afterAutospacing="off"/>
        <w:jc w:val="both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KARTA PRZEDMIOTU: </w:t>
      </w:r>
      <w:r w:rsidRPr="02EB7A88" w:rsidR="07798E29">
        <w:rPr>
          <w:rFonts w:ascii="Calibri" w:hAnsi="Calibri" w:eastAsia="Calibri" w:cs="Calibri"/>
          <w:noProof w:val="0"/>
          <w:color w:val="00000A"/>
          <w:sz w:val="22"/>
          <w:szCs w:val="22"/>
          <w:lang w:val="pl-PL"/>
        </w:rPr>
        <w:t xml:space="preserve">EL1.28 </w:t>
      </w: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Gerontologopedia i onkologopedia (konwersatorium)   - </w:t>
      </w:r>
      <w:r w:rsidRPr="02EB7A88" w:rsidR="07798E29">
        <w:rPr>
          <w:rFonts w:ascii="Calibri" w:hAnsi="Calibri" w:eastAsia="Calibri" w:cs="Calibri"/>
          <w:noProof w:val="0"/>
          <w:color w:val="00B050"/>
          <w:sz w:val="24"/>
          <w:szCs w:val="24"/>
          <w:lang w:val="pl-PL"/>
        </w:rPr>
        <w:t>aktualizacja AAM</w:t>
      </w:r>
    </w:p>
    <w:p xmlns:wp14="http://schemas.microsoft.com/office/word/2010/wordml" w:rsidP="02EB7A88" wp14:paraId="6BB946EE" wp14:textId="4780BCF9">
      <w:pPr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34E27650" wp14:textId="2C030834">
      <w:pPr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Edycja od roku: 2026/2027</w:t>
      </w:r>
    </w:p>
    <w:p xmlns:wp14="http://schemas.microsoft.com/office/word/2010/wordml" w:rsidP="02EB7A88" wp14:paraId="791E6506" wp14:textId="2068349C">
      <w:pPr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Osoba prowadząca ćwiczenia: dr Agnieszka Amilkiewicz-Marek</w:t>
      </w:r>
    </w:p>
    <w:p xmlns:wp14="http://schemas.microsoft.com/office/word/2010/wordml" w:rsidP="02EB7A88" wp14:paraId="47F9EA8B" wp14:textId="0CAA7C64">
      <w:pPr>
        <w:pStyle w:val="ListParagraph"/>
        <w:numPr>
          <w:ilvl w:val="0"/>
          <w:numId w:val="1"/>
        </w:numPr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Dane podstawowe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4287"/>
        <w:gridCol w:w="4281"/>
      </w:tblGrid>
      <w:tr w:rsidR="02EB7A88" w:rsidTr="02EB7A88" w14:paraId="1CE487FB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98BB479" w14:textId="2373E806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Nazwa przedmiotu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154B172" w14:textId="00D2D535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Gerontologopedia i onkologopedia (konwersatorium)</w:t>
            </w:r>
          </w:p>
        </w:tc>
      </w:tr>
      <w:tr w:rsidR="02EB7A88" w:rsidTr="02EB7A88" w14:paraId="2DC9E3DE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E95BE0F" w14:textId="734547DC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Nazwa przedmiotu w języku angielskim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EA92FF1" w14:textId="39688CA2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Gerontologopedia and oncologopedia (seminar)</w:t>
            </w:r>
          </w:p>
        </w:tc>
      </w:tr>
      <w:tr w:rsidR="02EB7A88" w:rsidTr="02EB7A88" w14:paraId="43B99262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530B3C7" w14:textId="5E1027B1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Kierunek studiów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58031FE" w14:textId="758CFD90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Pedagogika specjalna</w:t>
            </w:r>
          </w:p>
        </w:tc>
      </w:tr>
      <w:tr w:rsidR="02EB7A88" w:rsidTr="02EB7A88" w14:paraId="76A9993D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0E97F27" w14:textId="27020F9D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2141966" w14:textId="32F2DFAC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Jednolite magisterskie</w:t>
            </w:r>
          </w:p>
        </w:tc>
      </w:tr>
      <w:tr w:rsidR="02EB7A88" w:rsidTr="02EB7A88" w14:paraId="545BD2C4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C9D42F1" w14:textId="59001233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EE432BA" w14:textId="68182C87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stacjonarne</w:t>
            </w:r>
          </w:p>
        </w:tc>
      </w:tr>
      <w:tr w:rsidR="02EB7A88" w:rsidTr="02EB7A88" w14:paraId="0ACA915B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1506D78" w14:textId="2430473E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Dyscyplina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B91BA95" w14:textId="54420C8F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pedagogika</w:t>
            </w:r>
          </w:p>
        </w:tc>
      </w:tr>
      <w:tr w:rsidR="02EB7A88" w:rsidTr="02EB7A88" w14:paraId="4EB8E812">
        <w:trPr>
          <w:trHeight w:val="300"/>
        </w:trPr>
        <w:tc>
          <w:tcPr>
            <w:tcW w:w="42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09299F5" w14:textId="223CE86E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Język wykładowy</w:t>
            </w:r>
          </w:p>
        </w:tc>
        <w:tc>
          <w:tcPr>
            <w:tcW w:w="42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FE4108F" w14:textId="3385CE7A">
            <w:pPr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polski</w:t>
            </w:r>
          </w:p>
        </w:tc>
      </w:tr>
    </w:tbl>
    <w:p xmlns:wp14="http://schemas.microsoft.com/office/word/2010/wordml" w:rsidP="02EB7A88" wp14:paraId="2722E3B9" wp14:textId="2C65FD51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4325"/>
        <w:gridCol w:w="4243"/>
      </w:tblGrid>
      <w:tr w:rsidR="02EB7A88" w:rsidTr="02EB7A88" w14:paraId="34124BEA">
        <w:trPr>
          <w:trHeight w:val="300"/>
        </w:trPr>
        <w:tc>
          <w:tcPr>
            <w:tcW w:w="43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35CF882" w14:textId="1A1BA56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Koordynator przedmiotu/osoba odpowiedzialna</w:t>
            </w:r>
          </w:p>
        </w:tc>
        <w:tc>
          <w:tcPr>
            <w:tcW w:w="424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28A433A" w14:textId="33A16D0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Agnieszka Amilkiewicz-Marek</w:t>
            </w:r>
          </w:p>
          <w:p w:rsidR="02EB7A88" w:rsidP="02EB7A88" w:rsidRDefault="02EB7A88" w14:paraId="507F36B0" w14:textId="222E846E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02EB7A88" wp14:paraId="67C117A5" wp14:textId="4F911DA1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2160"/>
        <w:gridCol w:w="1967"/>
        <w:gridCol w:w="1995"/>
        <w:gridCol w:w="1974"/>
      </w:tblGrid>
      <w:tr w:rsidR="02EB7A88" w:rsidTr="02EB7A88" w14:paraId="2D305A56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56E7191" w14:textId="34A43D4F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Forma zajęć </w:t>
            </w: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4"/>
                <w:szCs w:val="24"/>
              </w:rPr>
              <w:t>(katalog zamknięty ze słownika)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523EF6F" w14:textId="5758E1FE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Liczba godzin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5106684" w14:textId="39C0C1A6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semestr</w:t>
            </w:r>
          </w:p>
        </w:tc>
        <w:tc>
          <w:tcPr>
            <w:tcW w:w="197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163EB1D" w14:textId="350D94FE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Punkty ECTS</w:t>
            </w:r>
          </w:p>
        </w:tc>
      </w:tr>
      <w:tr w:rsidR="02EB7A88" w:rsidTr="02EB7A88" w14:paraId="1C981162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3C58FF7" w14:textId="54D6C4DA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wykład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8F96EDA" w14:textId="6395985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3F9E9AB" w14:textId="5187A94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0405702" w14:textId="4553C0D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1</w:t>
            </w:r>
          </w:p>
        </w:tc>
      </w:tr>
      <w:tr w:rsidR="02EB7A88" w:rsidTr="02EB7A88" w14:paraId="197FFC2D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082D61D" w14:textId="260EF71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konwersatorium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8AA6D26" w14:textId="192729F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A32D007" w14:textId="3924358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IX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5862E93"/>
        </w:tc>
      </w:tr>
      <w:tr w:rsidR="02EB7A88" w:rsidTr="02EB7A88" w14:paraId="00FF381A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C1D2C44" w14:textId="793DFBF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ćwiczenia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E773851" w14:textId="46C2C9C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E2F1BDD" w14:textId="227FACD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0F35159"/>
        </w:tc>
      </w:tr>
      <w:tr w:rsidR="02EB7A88" w:rsidTr="02EB7A88" w14:paraId="5B530218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450121D" w14:textId="1C9AD73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laboratorium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927989F" w14:textId="0C9340B0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2DB0836" w14:textId="740F8DD8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2A67748"/>
        </w:tc>
      </w:tr>
      <w:tr w:rsidR="02EB7A88" w:rsidTr="02EB7A88" w14:paraId="6D92E966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D65C013" w14:textId="60D1B7DE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warsztaty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E864661" w14:textId="554D7B80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51EA19C" w14:textId="4A09E3AA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30527E0"/>
        </w:tc>
      </w:tr>
      <w:tr w:rsidR="02EB7A88" w:rsidTr="02EB7A88" w14:paraId="6C748256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DA95088" w14:textId="4E180B3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seminarium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3C237E4" w14:textId="11A123C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5F33844" w14:textId="5FBAABD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5F5D9B7"/>
        </w:tc>
      </w:tr>
      <w:tr w:rsidR="02EB7A88" w:rsidTr="02EB7A88" w14:paraId="1D464DC6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92C300E" w14:textId="6F4D00C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proseminarium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C1B14B3" w14:textId="3AC68930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0C5FA4C" w14:textId="36BE53D0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7B448F1"/>
        </w:tc>
      </w:tr>
      <w:tr w:rsidR="02EB7A88" w:rsidTr="02EB7A88" w14:paraId="4A9B673B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55E7106" w14:textId="5E777BA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lektorat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B2CF474" w14:textId="289636D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26EE12D" w14:textId="6B2CF4F8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F92BFDE"/>
        </w:tc>
      </w:tr>
      <w:tr w:rsidR="02EB7A88" w:rsidTr="02EB7A88" w14:paraId="1FB254E6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F8C9459" w14:textId="7C2B4422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praktyki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C008A2C" w14:textId="3B45EB6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42A6D85" w14:textId="3652A6C0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330B51F"/>
        </w:tc>
      </w:tr>
      <w:tr w:rsidR="02EB7A88" w:rsidTr="02EB7A88" w14:paraId="6934F9D8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085EE66" w14:textId="354FF8D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zajęcia terenowe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DB2CC33" w14:textId="0DA2ED0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8706EC1" w14:textId="33BD884E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B602481"/>
        </w:tc>
      </w:tr>
      <w:tr w:rsidR="02EB7A88" w:rsidTr="02EB7A88" w14:paraId="68FAA33D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01FF400" w14:textId="5642823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pracownia dyplomowa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457C1DF" w14:textId="4086358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809C252" w14:textId="5B1E586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0727A09"/>
        </w:tc>
      </w:tr>
      <w:tr w:rsidR="02EB7A88" w:rsidTr="02EB7A88" w14:paraId="7DD0810C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5EE79B0" w14:textId="48CAF98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translatorium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860E321" w14:textId="4B85D599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FB00C58" w14:textId="4CAE346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3C5E0CF"/>
        </w:tc>
      </w:tr>
      <w:tr w:rsidR="02EB7A88" w:rsidTr="02EB7A88" w14:paraId="55700C87">
        <w:trPr>
          <w:trHeight w:val="300"/>
        </w:trPr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08A6D31" w14:textId="6AFF2FE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wizyta studyjna</w:t>
            </w:r>
          </w:p>
        </w:tc>
        <w:tc>
          <w:tcPr>
            <w:tcW w:w="1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A4D5DB4" w14:textId="55240A5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4A54ED7" w14:textId="13DE4DE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7E525D9"/>
        </w:tc>
      </w:tr>
    </w:tbl>
    <w:p xmlns:wp14="http://schemas.microsoft.com/office/word/2010/wordml" w:rsidP="02EB7A88" wp14:paraId="16FDAD96" wp14:textId="3C20C31D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2133"/>
        <w:gridCol w:w="6435"/>
      </w:tblGrid>
      <w:tr w:rsidR="02EB7A88" w:rsidTr="02EB7A88" w14:paraId="17CB2B1F">
        <w:trPr>
          <w:trHeight w:val="300"/>
        </w:trPr>
        <w:tc>
          <w:tcPr>
            <w:tcW w:w="21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A0F0D82" w14:textId="1BC3DE5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Wymagania wstępne</w:t>
            </w:r>
          </w:p>
        </w:tc>
        <w:tc>
          <w:tcPr>
            <w:tcW w:w="64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1F340FD" w14:textId="206F0166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  <w:t>Podstawowa wiedza z zakresu logopedii i pedagogiki specjalnej osób dorosłych</w:t>
            </w:r>
          </w:p>
        </w:tc>
      </w:tr>
    </w:tbl>
    <w:p xmlns:wp14="http://schemas.microsoft.com/office/word/2010/wordml" w:rsidP="02EB7A88" wp14:paraId="4F926554" wp14:textId="2FA267E3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6C44E97E" wp14:textId="78B7756C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04F8ECE9" wp14:textId="6EEB35F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Cele kształcenia dla przedmiotu 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8804"/>
      </w:tblGrid>
      <w:tr w:rsidR="02EB7A88" w:rsidTr="02EB7A88" w14:paraId="15AE456D">
        <w:trPr>
          <w:trHeight w:val="300"/>
        </w:trPr>
        <w:tc>
          <w:tcPr>
            <w:tcW w:w="88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272F0AE" w14:textId="3AD17CEE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Przedmiot realizuje efekty modułu </w:t>
            </w: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2"/>
                <w:szCs w:val="22"/>
              </w:rPr>
              <w:t>E.2L</w:t>
            </w: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 w zakresie pogłębionego przygotowania do wykonywania zadań diagnostyczno-terapeutycznych w obszarze logopedii klinicznej.</w:t>
            </w:r>
          </w:p>
          <w:p w:rsidR="02EB7A88" w:rsidP="02EB7A88" w:rsidRDefault="02EB7A88" w14:paraId="1BEFC2A5" w14:textId="6A99BF12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Celem zajęć jest:</w:t>
            </w:r>
          </w:p>
          <w:p w:rsidR="02EB7A88" w:rsidP="02EB7A88" w:rsidRDefault="02EB7A88" w14:paraId="66B15B01" w14:textId="42947E50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pogłębienie wiedzy dotyczącej zaburzeń mowy, głosu i połykania u osób w wieku senioralnym oraz pacjentów po leczeniu onkologicznym w obrębie głowy i szyi;</w:t>
            </w:r>
          </w:p>
          <w:p w:rsidR="02EB7A88" w:rsidP="02EB7A88" w:rsidRDefault="02EB7A88" w14:paraId="046CC40F" w14:textId="00EB30A8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przygotowanie do planowania działań diagnostycznych i terapeutycznych w gerontologopedii i onkologopedii;</w:t>
            </w:r>
          </w:p>
          <w:p w:rsidR="02EB7A88" w:rsidP="02EB7A88" w:rsidRDefault="02EB7A88" w14:paraId="63485CCE" w14:textId="2B6A22B0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rozwijanie kompetencji w zakresie współpracy interdyscyplinarnej oraz odpowiedzialnego i etycznego podejmowania decyzji zawodowych.</w:t>
            </w:r>
          </w:p>
          <w:p w:rsidR="02EB7A88" w:rsidP="02EB7A88" w:rsidRDefault="02EB7A88" w14:paraId="2DE3579A" w14:textId="7C1F186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02EB7A88" wp14:paraId="2069A506" wp14:textId="64DE2F36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3B41B5EA" wp14:textId="141B9466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Efekty uczenia się dla przedmiotu wraz z odniesieniem do efektów kierunkowych</w:t>
      </w:r>
    </w:p>
    <w:p xmlns:wp14="http://schemas.microsoft.com/office/word/2010/wordml" w:rsidP="02EB7A88" wp14:paraId="19B07F45" wp14:textId="3248B2C4">
      <w:pPr>
        <w:bidi w:val="0"/>
        <w:spacing w:before="0" w:beforeAutospacing="off" w:after="200" w:afterAutospacing="off"/>
        <w:jc w:val="right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>E.2L.W1</w:t>
      </w:r>
    </w:p>
    <w:p xmlns:wp14="http://schemas.microsoft.com/office/word/2010/wordml" w:rsidP="02EB7A88" wp14:paraId="665F8C70" wp14:textId="1C67A2E6">
      <w:pPr>
        <w:bidi w:val="0"/>
        <w:spacing w:before="0" w:beforeAutospacing="off" w:after="200" w:afterAutospacing="off"/>
        <w:jc w:val="right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>E.2L.U1.</w:t>
      </w:r>
    </w:p>
    <w:p xmlns:wp14="http://schemas.microsoft.com/office/word/2010/wordml" w:rsidP="02EB7A88" wp14:paraId="6687A8B4" wp14:textId="727C6BD9">
      <w:pPr>
        <w:bidi w:val="0"/>
        <w:spacing w:before="0" w:beforeAutospacing="off" w:after="200" w:afterAutospacing="off"/>
        <w:jc w:val="right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>E.2L.K2.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1038"/>
        <w:gridCol w:w="5258"/>
        <w:gridCol w:w="2036"/>
      </w:tblGrid>
      <w:tr w:rsidR="02EB7A88" w:rsidTr="4007C8F8" w14:paraId="10E8CA9A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EB7A88" w:rsidP="02EB7A88" w:rsidRDefault="02EB7A88" w14:paraId="59263B58" w14:textId="2C30A579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Symbol</w:t>
            </w:r>
          </w:p>
        </w:tc>
        <w:tc>
          <w:tcPr>
            <w:tcW w:w="52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EB7A88" w:rsidP="02EB7A88" w:rsidRDefault="02EB7A88" w14:paraId="10266279" w14:textId="787543D7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Opis efektu przedmiotowego</w:t>
            </w:r>
          </w:p>
        </w:tc>
        <w:tc>
          <w:tcPr>
            <w:tcW w:w="20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EB7A88" w:rsidP="02EB7A88" w:rsidRDefault="02EB7A88" w14:paraId="30C3E4F4" w14:textId="31903244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Odniesienie do efektu kierunkowego</w:t>
            </w:r>
          </w:p>
        </w:tc>
      </w:tr>
      <w:tr w:rsidR="02EB7A88" w:rsidTr="4007C8F8" w14:paraId="22A0C8CB">
        <w:trPr>
          <w:trHeight w:val="300"/>
        </w:trPr>
        <w:tc>
          <w:tcPr>
            <w:tcW w:w="833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D342D8F" w14:textId="3CA95741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WIEDZA - </w:t>
            </w: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absolwent zna i rozumie</w:t>
            </w:r>
          </w:p>
        </w:tc>
      </w:tr>
      <w:tr w:rsidR="02EB7A88" w:rsidTr="4007C8F8" w14:paraId="339196C4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D271E54" w14:textId="3A75B73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W1</w:t>
            </w:r>
          </w:p>
        </w:tc>
        <w:tc>
          <w:tcPr>
            <w:tcW w:w="525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E8703FA" w14:textId="25DCDD2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specyfikę zaburzeń mowy, głosu i połykania występujących u osób w wieku senioralnym oraz u pacjentów po leczeniu onkologicznym w obrębie głowy i szyi, w tym ich uwarunkowania medyczne, neurologiczne i psychospołeczne</w:t>
            </w: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;</w:t>
            </w:r>
          </w:p>
        </w:tc>
        <w:tc>
          <w:tcPr>
            <w:tcW w:w="203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B828C1C" w14:textId="66247DE3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E.2L.W1</w:t>
            </w:r>
          </w:p>
        </w:tc>
      </w:tr>
      <w:tr w:rsidR="02EB7A88" w:rsidTr="4007C8F8" w14:paraId="58E80B50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FE89B31" w14:textId="2FB4575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W2</w:t>
            </w:r>
          </w:p>
        </w:tc>
        <w:tc>
          <w:tcPr>
            <w:tcW w:w="52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CDDDD4E" w14:textId="4D2AA9D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zasady diagnozy i terapii logopedycznej w gerontologopedii i onkologopedii, w tym standardy postępowania klinicznego oraz zasady współpracy interdyscyplinarnej</w:t>
            </w: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57D2911" w14:textId="24B4262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E.2L.W1</w:t>
            </w:r>
          </w:p>
        </w:tc>
      </w:tr>
      <w:tr w:rsidR="02EB7A88" w:rsidTr="4007C8F8" w14:paraId="358E7861">
        <w:trPr>
          <w:trHeight w:val="300"/>
        </w:trPr>
        <w:tc>
          <w:tcPr>
            <w:tcW w:w="833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E90003D" w14:textId="38879C9C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UMIEJĘTNOŚCI: absolwent potrafi:</w:t>
            </w:r>
          </w:p>
        </w:tc>
      </w:tr>
      <w:tr w:rsidR="02EB7A88" w:rsidTr="4007C8F8" w14:paraId="312BE249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DF04E3F" w14:textId="075B521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U1</w:t>
            </w:r>
          </w:p>
        </w:tc>
        <w:tc>
          <w:tcPr>
            <w:tcW w:w="525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4777A08" w14:textId="198053FF">
            <w:pPr>
              <w:bidi w:val="0"/>
              <w:spacing w:before="120" w:beforeAutospacing="off" w:after="200" w:afterAutospacing="off"/>
              <w:jc w:val="both"/>
            </w:pPr>
            <w:r w:rsidRPr="02EB7A88" w:rsidR="02EB7A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dokonać analizy przypadku osoby starszej lub pacjenta po leczeniu onkologicznym oraz zaplanować adekwatne działania diagnostyczne;</w:t>
            </w:r>
          </w:p>
        </w:tc>
        <w:tc>
          <w:tcPr>
            <w:tcW w:w="203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C47477C" w14:textId="4002500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E.2L.U1</w:t>
            </w:r>
          </w:p>
        </w:tc>
      </w:tr>
      <w:tr w:rsidR="02EB7A88" w:rsidTr="4007C8F8" w14:paraId="1D7BF9BC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D630F71" w14:textId="788F6A7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U2</w:t>
            </w:r>
          </w:p>
        </w:tc>
        <w:tc>
          <w:tcPr>
            <w:tcW w:w="52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0C1D28E" w14:textId="15D7972E">
            <w:pPr>
              <w:bidi w:val="0"/>
              <w:spacing w:before="120" w:beforeAutospacing="off" w:after="200" w:afterAutospacing="off"/>
              <w:jc w:val="both"/>
            </w:pPr>
            <w:r w:rsidRPr="02EB7A88" w:rsidR="02EB7A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opracować wstępny program terapii logopedycznej uwzględniający stan funkcjonalny pacjenta, rokowania medyczne oraz wsparcie środowiskowe</w:t>
            </w:r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BB08092" w14:textId="140EA8E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E.2L.U1</w:t>
            </w:r>
          </w:p>
        </w:tc>
      </w:tr>
      <w:tr w:rsidR="02EB7A88" w:rsidTr="4007C8F8" w14:paraId="00CD2369">
        <w:trPr>
          <w:trHeight w:val="300"/>
        </w:trPr>
        <w:tc>
          <w:tcPr>
            <w:tcW w:w="833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62D645E" w14:textId="58F7E1DA">
            <w:pPr>
              <w:bidi w:val="0"/>
              <w:spacing w:before="0" w:beforeAutospacing="off" w:after="0" w:afterAutospacing="off"/>
              <w:jc w:val="center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KOMPETENCJE SPOŁECZNE: absolwent  jest gotów do:</w:t>
            </w:r>
          </w:p>
        </w:tc>
      </w:tr>
      <w:tr w:rsidR="02EB7A88" w:rsidTr="4007C8F8" w14:paraId="10BF83AA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6454FF0" w14:textId="579739B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K1</w:t>
            </w:r>
          </w:p>
        </w:tc>
        <w:tc>
          <w:tcPr>
            <w:tcW w:w="525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4056A24" w14:textId="0FC1A844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odpowiedzialnego i etycznego podejmowania działań diagnostyczno-terapeutycznych wobec osób starszych i pacjentów onkologicznych</w:t>
            </w:r>
          </w:p>
        </w:tc>
        <w:tc>
          <w:tcPr>
            <w:tcW w:w="203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F684AB9" w14:textId="083D412B">
            <w:pPr>
              <w:bidi w:val="0"/>
              <w:spacing w:before="0" w:beforeAutospacing="off" w:after="0" w:afterAutospacing="off"/>
            </w:pPr>
            <w:r w:rsidRPr="4007C8F8" w:rsidR="6F37C314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E.2L.K</w:t>
            </w:r>
            <w:r w:rsidRPr="4007C8F8" w:rsidR="0072AC12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4</w:t>
            </w:r>
          </w:p>
        </w:tc>
      </w:tr>
      <w:tr w:rsidR="02EB7A88" w:rsidTr="4007C8F8" w14:paraId="5E6281A3">
        <w:trPr>
          <w:trHeight w:val="300"/>
        </w:trPr>
        <w:tc>
          <w:tcPr>
            <w:tcW w:w="10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BFB79B8" w14:textId="3EE4DB7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K2</w:t>
            </w:r>
          </w:p>
        </w:tc>
        <w:tc>
          <w:tcPr>
            <w:tcW w:w="52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38CCC4E" w14:textId="64E3E073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współpracy w zespole interdyscyplinarnym oraz komunikowania się z pacjentem i jego rodziną z poszanowaniem godności, autonomii i prawa do informacji.</w:t>
            </w:r>
          </w:p>
        </w:tc>
        <w:tc>
          <w:tcPr>
            <w:tcW w:w="203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6EC1B31" w14:textId="06C56575">
            <w:pPr>
              <w:bidi w:val="0"/>
              <w:spacing w:before="0" w:beforeAutospacing="off" w:after="0" w:afterAutospacing="off"/>
            </w:pPr>
            <w:r w:rsidRPr="4007C8F8" w:rsidR="6F37C314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E.2L.K</w:t>
            </w:r>
            <w:r w:rsidRPr="4007C8F8" w:rsidR="64F70FDE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P="02EB7A88" wp14:paraId="640B965E" wp14:textId="4CC421D5">
      <w:pPr>
        <w:bidi w:val="0"/>
        <w:spacing w:before="0" w:beforeAutospacing="off" w:after="0" w:afterAutospacing="off"/>
        <w:ind w:left="1080" w:right="0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568600C3" wp14:textId="5B22BF0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Opis przedmiotu/ treści programowe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8804"/>
      </w:tblGrid>
      <w:tr w:rsidR="02EB7A88" w:rsidTr="02EB7A88" w14:paraId="0DEF2E45">
        <w:trPr>
          <w:trHeight w:val="300"/>
        </w:trPr>
        <w:tc>
          <w:tcPr>
            <w:tcW w:w="88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28BDA94" w14:textId="74A938E5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KONWERSATORIUM:</w:t>
            </w:r>
          </w:p>
          <w:p w:rsidR="02EB7A88" w:rsidP="02EB7A88" w:rsidRDefault="02EB7A88" w14:paraId="23050473" w14:textId="1ED1ED0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Podczas zajęć w zakresie treści programowych będą poruszane zagadnienia dotyczące </w:t>
            </w:r>
          </w:p>
          <w:p w:rsidR="02EB7A88" w:rsidP="02EB7A88" w:rsidRDefault="02EB7A88" w14:paraId="55002BF6" w14:textId="3270723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charakterystyki procesów starzenia i ich znaczenia w funkcjonowaniu osób w wieku senioralnym. Student zostanie wprowadzony w zagadnienia dotyczące treści związanych normatywnym i nienormatywnym procesem starzenia się organizmu oraz zagadnienia dotyczące możliwości wsparcia logopedycznego skierowanego do tych osób i osób leczonych onkologicznie.</w:t>
            </w:r>
          </w:p>
          <w:p w:rsidR="02EB7A88" w:rsidP="02EB7A88" w:rsidRDefault="02EB7A88" w14:paraId="4F52F8EB" w14:textId="11A454F4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Proces starzenia się organizmu – zmiany fizjologiczne i patologiczne a funkcjonowanie komunikacyjne.</w:t>
            </w:r>
          </w:p>
          <w:p w:rsidR="02EB7A88" w:rsidP="02EB7A88" w:rsidRDefault="02EB7A88" w14:paraId="1D3F3529" w14:textId="27A61202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Zaburzenia mowy i połykania w chorobach neurodegeneracyjnych (np. choroba Parkinsona, choroba Alzheimera).</w:t>
            </w:r>
          </w:p>
          <w:p w:rsidR="02EB7A88" w:rsidP="02EB7A88" w:rsidRDefault="02EB7A88" w14:paraId="16F93EF8" w14:textId="5194B456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Dysfagia u osób starszych – diagnoza i podstawy terapii.</w:t>
            </w:r>
          </w:p>
          <w:p w:rsidR="02EB7A88" w:rsidP="02EB7A88" w:rsidRDefault="02EB7A88" w14:paraId="3E938299" w14:textId="6D866B95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Onkologopedia – specyfika zaburzeń mowy i połykania w nowotworach głowy i szyi.</w:t>
            </w:r>
          </w:p>
          <w:p w:rsidR="02EB7A88" w:rsidP="02EB7A88" w:rsidRDefault="02EB7A88" w14:paraId="5ABBC964" w14:textId="2B8D6B1C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Terapia logopedyczna po laryngektomii i innych zabiegach onkologicznych.</w:t>
            </w:r>
          </w:p>
          <w:p w:rsidR="02EB7A88" w:rsidP="02EB7A88" w:rsidRDefault="02EB7A88" w14:paraId="48FAEEBA" w14:textId="384695DE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Standardy postępowania logopedycznego w pracy z pacjentem onkologicznym.</w:t>
            </w:r>
          </w:p>
          <w:p w:rsidR="02EB7A88" w:rsidP="02EB7A88" w:rsidRDefault="02EB7A88" w14:paraId="4A0B816A" w14:textId="149112C7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Współpraca logopedy z lekarzem, fizjoterapeutą, psychoonkologiem i rodziną pacjenta.</w:t>
            </w:r>
          </w:p>
          <w:p w:rsidR="02EB7A88" w:rsidP="02EB7A88" w:rsidRDefault="02EB7A88" w14:paraId="122AC39F" w14:textId="7EE3F6BF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Etyczne aspekty pracy z osobą starszą i pacjentem w stanie terminalnym.</w:t>
            </w:r>
          </w:p>
          <w:p w:rsidR="02EB7A88" w:rsidP="02EB7A88" w:rsidRDefault="02EB7A88" w14:paraId="4DC89007" w14:textId="4766F80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  <w:p w:rsidR="02EB7A88" w:rsidP="02EB7A88" w:rsidRDefault="02EB7A88" w14:paraId="43CAB524" w14:textId="0657BEFA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02EB7A88" wp14:paraId="01CA8966" wp14:textId="0E3D3BBE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1B081D15" wp14:textId="2C27AE2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Metody realizacji i weryfikacji efektów uczenia się</w:t>
      </w:r>
    </w:p>
    <w:tbl>
      <w:tblPr>
        <w:tblStyle w:val="TableNormal"/>
        <w:bidiVisual w:val="0"/>
        <w:tblW w:w="0" w:type="auto"/>
        <w:tblBorders>
          <w:top w:val="single" w:sz="8"/>
          <w:left w:val="single" w:sz="8"/>
          <w:bottom w:val="single" w:sz="8"/>
          <w:right w:val="single" w:sz="8"/>
        </w:tblBorders>
        <w:tblLook w:val="04A0" w:firstRow="1" w:lastRow="0" w:firstColumn="1" w:lastColumn="0" w:noHBand="0" w:noVBand="1"/>
      </w:tblPr>
      <w:tblGrid>
        <w:gridCol w:w="726"/>
        <w:gridCol w:w="3151"/>
        <w:gridCol w:w="2977"/>
        <w:gridCol w:w="2160"/>
      </w:tblGrid>
      <w:tr w:rsidR="02EB7A88" w:rsidTr="02EB7A88" w14:paraId="5825CF2F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ACC52F7" w14:textId="0C12ADB6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Symbol efektu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A62349B" w14:textId="664A7374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Metody dydaktyczne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559CC70" w14:textId="5E6588C8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Metody weryfikacji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AF65EBD" w14:textId="47D98576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Sposoby dokumentacji</w:t>
            </w:r>
          </w:p>
        </w:tc>
      </w:tr>
      <w:tr w:rsidR="02EB7A88" w:rsidTr="02EB7A88" w14:paraId="13505E98">
        <w:trPr>
          <w:trHeight w:val="300"/>
        </w:trPr>
        <w:tc>
          <w:tcPr>
            <w:tcW w:w="9014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1F5D8F6" w14:textId="560D3771">
            <w:pPr>
              <w:bidi w:val="0"/>
              <w:spacing w:before="0" w:beforeAutospacing="off" w:after="160" w:afterAutospacing="off" w:line="257" w:lineRule="auto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WIEDZA</w:t>
            </w:r>
          </w:p>
        </w:tc>
      </w:tr>
      <w:tr w:rsidR="02EB7A88" w:rsidTr="02EB7A88" w14:paraId="5C5E5441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FEF6D08" w14:textId="206DAB1D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W_01 (E.2L.W1)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E591125" w14:textId="7DA0B409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wykład konwersatoryjny, prezentacja multimedialna, analiza literatury, dyskusja problemowa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42DBE99B" w14:textId="0AFB4F8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kolokwium problemowe, test sytuacyjny, pytania problemowe w trakcie zajęć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F616681" w14:textId="32086382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arkusz ocen, protokół zaliczenia, zapis w dzienniku zajęć</w:t>
            </w:r>
          </w:p>
        </w:tc>
      </w:tr>
      <w:tr w:rsidR="02EB7A88" w:rsidTr="02EB7A88" w14:paraId="4AA8270E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0AC0F981" w14:textId="4E66F02A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W_02 (E.2L.W1)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2350C4E" w14:textId="430D6931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wykład konwersatoryjny, analiza standardów klinicznych, studium przypadku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05C20C22" w14:textId="5E73A2DE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kolokwium problemowe, analiza krótkiego opisu przypadku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B62D0CD" w14:textId="3D1749DD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arkusz ocen, protokół zaliczenia, zapis w dzienniku zajęć</w:t>
            </w:r>
          </w:p>
        </w:tc>
      </w:tr>
      <w:tr w:rsidR="02EB7A88" w:rsidTr="02EB7A88" w14:paraId="5F8D00E6">
        <w:trPr>
          <w:trHeight w:val="300"/>
        </w:trPr>
        <w:tc>
          <w:tcPr>
            <w:tcW w:w="9014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42E7401C" w14:textId="305DF571">
            <w:pPr>
              <w:bidi w:val="0"/>
              <w:spacing w:before="0" w:beforeAutospacing="off" w:after="160" w:afterAutospacing="off" w:line="257" w:lineRule="auto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UMIEJĘTNOŚCI</w:t>
            </w:r>
          </w:p>
        </w:tc>
      </w:tr>
      <w:tr w:rsidR="02EB7A88" w:rsidTr="02EB7A88" w14:paraId="6B279AD3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8357091" w14:textId="3F8AAB7D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U_01 (E.2L.U1)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7B903170" w14:textId="42B565DC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analiza przypadku (case study), problem-based learning, praca w grupach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671A7C7" w14:textId="67DAB7AC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analiza przypadku klinicznego (zadanie pisemne), prezentacja rozwiązania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7360AB6" w14:textId="2F65A6D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projekt pisemny, arkusz oceny projektu, zapis w dzienniku zajęć</w:t>
            </w:r>
          </w:p>
        </w:tc>
      </w:tr>
      <w:tr w:rsidR="02EB7A88" w:rsidTr="02EB7A88" w14:paraId="2B9A8EC0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8CC995F" w14:textId="7384E6D7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U_02 (E.2L.U1)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7963DDE" w14:textId="0A29A2C7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warsztat projektowy, konsultacje, praca własna studenta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384E808" w14:textId="0A1EF1B3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opracowanie wstępnego programu terapii logopedycznej (projekt), prezentacja projektu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BDF4CE9" w14:textId="618120B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projekt pisemny, arkusz oceny, zapis w dzienniku zajęć</w:t>
            </w:r>
          </w:p>
        </w:tc>
      </w:tr>
      <w:tr w:rsidR="02EB7A88" w:rsidTr="02EB7A88" w14:paraId="576CBD92">
        <w:trPr>
          <w:trHeight w:val="300"/>
        </w:trPr>
        <w:tc>
          <w:tcPr>
            <w:tcW w:w="9014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BA09B46" w14:textId="18187DBC">
            <w:pPr>
              <w:bidi w:val="0"/>
              <w:spacing w:before="0" w:beforeAutospacing="off" w:after="160" w:afterAutospacing="off" w:line="257" w:lineRule="auto"/>
              <w:jc w:val="center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KOMPETENCJE SPOŁECZNE</w:t>
            </w:r>
          </w:p>
        </w:tc>
      </w:tr>
      <w:tr w:rsidR="02EB7A88" w:rsidTr="02EB7A88" w14:paraId="22F9E7F2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0AF9F074" w14:textId="064D0707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K_01 (E.2L.K4)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72E61330" w14:textId="4ECF2ECB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dyskusja moderowana, analiza dylematu etycznego, praca w grupach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09116699" w14:textId="7171721C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analiza problemu etycznego (ustna/pisemna), ocena postawy w dyskusji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B745E63" w14:textId="07B4D404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arkusz obserwacji, zapis w dzienniku zajęć</w:t>
            </w:r>
          </w:p>
        </w:tc>
      </w:tr>
      <w:tr w:rsidR="02EB7A88" w:rsidTr="02EB7A88" w14:paraId="3F830508">
        <w:trPr>
          <w:trHeight w:val="300"/>
        </w:trPr>
        <w:tc>
          <w:tcPr>
            <w:tcW w:w="7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364F9604" w14:textId="690C623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K_02 (E.2L.K4)</w:t>
            </w:r>
          </w:p>
        </w:tc>
        <w:tc>
          <w:tcPr>
            <w:tcW w:w="3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35670D9" w14:textId="29CDA03F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praca zespołowa w różnych rolach, symulacja współpracy interdyscyplinarnej</w:t>
            </w:r>
          </w:p>
        </w:tc>
        <w:tc>
          <w:tcPr>
            <w:tcW w:w="29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331CC6B" w14:textId="1E3756B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ocena pracy w grupie, obserwacja zaangażowania i komunikacji</w:t>
            </w:r>
          </w:p>
        </w:tc>
        <w:tc>
          <w:tcPr>
            <w:tcW w:w="21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CE2D56B" w14:textId="1259492F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arkusz oceny pracy zespołowej, zapis w dzienniku zajęć</w:t>
            </w:r>
          </w:p>
        </w:tc>
      </w:tr>
    </w:tbl>
    <w:p xmlns:wp14="http://schemas.microsoft.com/office/word/2010/wordml" w:rsidP="02EB7A88" wp14:paraId="5D3F149E" wp14:textId="3EB26CDA">
      <w:pPr>
        <w:bidi w:val="0"/>
        <w:spacing w:before="0" w:beforeAutospacing="off" w:after="160" w:afterAutospacing="off" w:line="257" w:lineRule="auto"/>
      </w:pPr>
      <w:r w:rsidRPr="02EB7A88" w:rsidR="07798E29">
        <w:rPr>
          <w:rFonts w:ascii="Calibri" w:hAnsi="Calibri" w:eastAsia="Calibri" w:cs="Calibri"/>
          <w:noProof w:val="0"/>
          <w:color w:val="00000A"/>
          <w:sz w:val="22"/>
          <w:szCs w:val="22"/>
          <w:lang w:val="pl-PL"/>
        </w:rPr>
        <w:t xml:space="preserve"> </w:t>
      </w:r>
    </w:p>
    <w:p xmlns:wp14="http://schemas.microsoft.com/office/word/2010/wordml" w:rsidP="02EB7A88" wp14:paraId="250E553A" wp14:textId="2FB80193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Kryteria oceny, wagi</w:t>
      </w:r>
    </w:p>
    <w:p xmlns:wp14="http://schemas.microsoft.com/office/word/2010/wordml" w:rsidP="02EB7A88" wp14:paraId="4B79F3E6" wp14:textId="30BC5268">
      <w:pPr>
        <w:bidi w:val="0"/>
        <w:spacing w:before="0" w:beforeAutospacing="off" w:after="200" w:afterAutospacing="off"/>
        <w:ind w:left="1080" w:right="0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u w:val="single"/>
          <w:lang w:val="pl-PL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339"/>
        <w:gridCol w:w="8676"/>
      </w:tblGrid>
      <w:tr w:rsidR="02EB7A88" w:rsidTr="02EB7A88" w14:paraId="751C1D4A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A681556" w14:textId="59921052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2"/>
                <w:szCs w:val="22"/>
              </w:rPr>
              <w:t>Ocena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49C02673" w14:textId="2381AD1C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2"/>
                <w:szCs w:val="22"/>
              </w:rPr>
              <w:t>Opis</w:t>
            </w:r>
          </w:p>
        </w:tc>
      </w:tr>
      <w:tr w:rsidR="02EB7A88" w:rsidTr="02EB7A88" w14:paraId="0160AE6C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8900378" w14:textId="25160AB6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5,0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7188960E" w14:textId="6E7A9464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Pogłębiona wiedza, trafna analiza przypadku klinicznego, samodzielne planowanie terapii, pełna świadomość etyczna, aktywna i merytoryczna postawa na zajęciach</w:t>
            </w:r>
          </w:p>
        </w:tc>
      </w:tr>
      <w:tr w:rsidR="02EB7A88" w:rsidTr="02EB7A88" w14:paraId="1B5C64E6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96ACBBA" w14:textId="7CA5037D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4,5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3A6A5F7C" w14:textId="5A2F8924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Bardzo dobra wiedza z drobnymi brakami, poprawna analiza przypadku, projekt terapii adekwatny, odpowiedzialna postawa zawodowa, aktywność na większości zajęć</w:t>
            </w:r>
          </w:p>
        </w:tc>
      </w:tr>
      <w:tr w:rsidR="02EB7A88" w:rsidTr="02EB7A88" w14:paraId="7E381FB7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9930EC5" w14:textId="3D5A83D9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4,0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120E2B3E" w14:textId="34B46F35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Dobra wiedza, analiza przypadku z niewielkimi uchybieniami, projekt terapii poprawny, rozumienie zasad etycznych, umiarkowana aktywność</w:t>
            </w:r>
          </w:p>
        </w:tc>
      </w:tr>
      <w:tr w:rsidR="02EB7A88" w:rsidTr="02EB7A88" w14:paraId="7BDFCBAD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25D596CD" w14:textId="459BF777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3,5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08EB84AB" w14:textId="3EE3C091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Podstawowa wiedza, analiza częściowa, projekt terapii ogólny, ograniczona współpraca zespołowa, minimalna aktywność merytoryczna</w:t>
            </w:r>
          </w:p>
        </w:tc>
      </w:tr>
      <w:tr w:rsidR="02EB7A88" w:rsidTr="02EB7A88" w14:paraId="4CD807BF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68F30BF8" w14:textId="6565E924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3,0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30CFA4ED" w14:textId="3C4067E3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Fragmentaryczna wiedza, trudności z analizą przypadku, projekt wymaga istotnych korekt, minimalne zaangażowanie</w:t>
            </w:r>
          </w:p>
        </w:tc>
      </w:tr>
      <w:tr w:rsidR="02EB7A88" w:rsidTr="02EB7A88" w14:paraId="5A0932A2">
        <w:trPr>
          <w:trHeight w:val="300"/>
        </w:trPr>
        <w:tc>
          <w:tcPr>
            <w:tcW w:w="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341AF9A9" w14:textId="4F618D26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2,0</w:t>
            </w:r>
          </w:p>
        </w:tc>
        <w:tc>
          <w:tcPr>
            <w:tcW w:w="8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2EB7A88" w:rsidP="02EB7A88" w:rsidRDefault="02EB7A88" w14:paraId="54236182" w14:textId="740649DB">
            <w:pPr>
              <w:bidi w:val="0"/>
              <w:spacing w:before="0" w:beforeAutospacing="off" w:after="160" w:afterAutospacing="off" w:line="257" w:lineRule="auto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Nie opanowano podstawowej wiedzy, brak samodzielnej analizy i projektu, brak odpowiedzialności zawodowej</w:t>
            </w:r>
          </w:p>
        </w:tc>
      </w:tr>
    </w:tbl>
    <w:p xmlns:wp14="http://schemas.microsoft.com/office/word/2010/wordml" w:rsidP="02EB7A88" wp14:paraId="44BAC07A" wp14:textId="5CD93A35">
      <w:pPr>
        <w:bidi w:val="0"/>
        <w:spacing w:before="0" w:beforeAutospacing="off" w:after="200" w:afterAutospacing="off" w:line="276" w:lineRule="auto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2"/>
          <w:szCs w:val="22"/>
          <w:lang w:val="pl-PL"/>
        </w:rPr>
        <w:t xml:space="preserve"> </w:t>
      </w:r>
    </w:p>
    <w:p xmlns:wp14="http://schemas.microsoft.com/office/word/2010/wordml" w:rsidP="02EB7A88" wp14:paraId="45C9C130" wp14:textId="18E2A0CC">
      <w:pPr>
        <w:bidi w:val="0"/>
        <w:spacing w:before="0" w:beforeAutospacing="off" w:after="0" w:afterAutospacing="off"/>
        <w:ind w:left="1440" w:right="0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W sytuacji nadzwyczajnej, tj.  zdarzeń losowych, problemów zdrowotnych możliwe jest zaliczenie przedmiotu na ocenę dostateczną w formie kolokwium w ustalonym. Możliwość  organizacji kolokwium online.</w:t>
      </w:r>
    </w:p>
    <w:p xmlns:wp14="http://schemas.microsoft.com/office/word/2010/wordml" w:rsidP="02EB7A88" wp14:paraId="59B650FB" wp14:textId="56B53062">
      <w:pPr>
        <w:bidi w:val="0"/>
        <w:spacing w:before="0" w:beforeAutospacing="off" w:after="0" w:afterAutospacing="off"/>
        <w:ind w:left="1440" w:right="0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0F379F20" wp14:textId="26F4F0A5">
      <w:pPr>
        <w:bidi w:val="0"/>
        <w:spacing w:before="0" w:beforeAutospacing="off" w:after="0" w:afterAutospacing="off"/>
        <w:ind w:left="720" w:right="0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4E98E8BA" wp14:textId="5931FF5E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Obciążenie pracą studenta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4318"/>
        <w:gridCol w:w="4250"/>
      </w:tblGrid>
      <w:tr w:rsidR="02EB7A88" w:rsidTr="02EB7A88" w14:paraId="6F5FA5ED">
        <w:trPr>
          <w:trHeight w:val="300"/>
        </w:trPr>
        <w:tc>
          <w:tcPr>
            <w:tcW w:w="431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798D96D" w14:textId="6B142D78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Forma aktywności studenta</w:t>
            </w:r>
          </w:p>
        </w:tc>
        <w:tc>
          <w:tcPr>
            <w:tcW w:w="4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03AEAE64" w14:textId="5A6C4D49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Liczba godzin</w:t>
            </w:r>
          </w:p>
        </w:tc>
      </w:tr>
      <w:tr w:rsidR="02EB7A88" w:rsidTr="02EB7A88" w14:paraId="1770FD9D">
        <w:trPr>
          <w:trHeight w:val="300"/>
        </w:trPr>
        <w:tc>
          <w:tcPr>
            <w:tcW w:w="431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235BA16" w14:textId="69290BE9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Liczba godzin kontaktowych z nauczycielem</w:t>
            </w:r>
          </w:p>
          <w:p w:rsidR="02EB7A88" w:rsidP="02EB7A88" w:rsidRDefault="02EB7A88" w14:paraId="2AEB629D" w14:textId="0D08C72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5BC552D5" w14:textId="52D0E257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15</w:t>
            </w:r>
          </w:p>
        </w:tc>
      </w:tr>
      <w:tr w:rsidR="02EB7A88" w:rsidTr="02EB7A88" w14:paraId="440BD9C8">
        <w:trPr>
          <w:trHeight w:val="300"/>
        </w:trPr>
        <w:tc>
          <w:tcPr>
            <w:tcW w:w="431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EA50C6D" w14:textId="302128F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Liczba godzin indywidualnej pracy studenta</w:t>
            </w:r>
          </w:p>
          <w:p w:rsidR="02EB7A88" w:rsidP="02EB7A88" w:rsidRDefault="02EB7A88" w14:paraId="4A12E392" w14:textId="38C2930D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14E18809" w14:textId="561D5CDE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15</w:t>
            </w:r>
          </w:p>
        </w:tc>
      </w:tr>
      <w:tr w:rsidR="02EB7A88" w:rsidTr="02EB7A88" w14:paraId="17A4CBD9">
        <w:trPr>
          <w:trHeight w:val="300"/>
        </w:trPr>
        <w:tc>
          <w:tcPr>
            <w:tcW w:w="431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446D1BD4" w14:textId="4D3DD1A1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Łącznie:</w:t>
            </w:r>
          </w:p>
        </w:tc>
        <w:tc>
          <w:tcPr>
            <w:tcW w:w="4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3FC8D519" w14:textId="178946EB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30</w:t>
            </w:r>
          </w:p>
        </w:tc>
      </w:tr>
    </w:tbl>
    <w:p xmlns:wp14="http://schemas.microsoft.com/office/word/2010/wordml" w:rsidP="02EB7A88" wp14:paraId="752F0C3C" wp14:textId="52D1CA47">
      <w:pPr>
        <w:bidi w:val="0"/>
        <w:spacing w:before="0" w:beforeAutospacing="off" w:after="0" w:afterAutospacing="off"/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1AEA2024" wp14:textId="25B4463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ind w:left="1080" w:right="0" w:hanging="720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02EB7A88" w:rsidR="07798E29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>Literatura</w:t>
      </w:r>
    </w:p>
    <w:tbl>
      <w:tblPr>
        <w:tblStyle w:val="TableGrid"/>
        <w:bidiVisual w:val="0"/>
        <w:tblW w:w="0" w:type="auto"/>
        <w:tblInd w:w="120" w:type="dxa"/>
        <w:tblLook w:val="04A0" w:firstRow="1" w:lastRow="0" w:firstColumn="1" w:lastColumn="0" w:noHBand="0" w:noVBand="1"/>
      </w:tblPr>
      <w:tblGrid>
        <w:gridCol w:w="9015"/>
      </w:tblGrid>
      <w:tr w:rsidR="02EB7A88" w:rsidTr="02EB7A88" w14:paraId="6B293EAF">
        <w:trPr>
          <w:trHeight w:val="300"/>
        </w:trPr>
        <w:tc>
          <w:tcPr>
            <w:tcW w:w="90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DACF02F" w14:textId="4BAD70AC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Literatura podstawowa</w:t>
            </w:r>
          </w:p>
        </w:tc>
      </w:tr>
      <w:tr w:rsidR="02EB7A88" w:rsidTr="02EB7A88" w14:paraId="4295C2E5">
        <w:trPr>
          <w:trHeight w:val="300"/>
        </w:trPr>
        <w:tc>
          <w:tcPr>
            <w:tcW w:w="90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796EF3FE" w14:textId="2B1895D8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Literatura:</w:t>
            </w:r>
          </w:p>
          <w:p w:rsidR="02EB7A88" w:rsidP="02EB7A88" w:rsidRDefault="02EB7A88" w14:paraId="69A29F1D" w14:textId="53F3CB32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Hamerlińska, A. (2018) Onkologopedia w systemie kształcenia  logopedów</w:t>
            </w: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2"/>
                <w:szCs w:val="22"/>
              </w:rPr>
              <w:t xml:space="preserve"> </w:t>
            </w: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. </w:t>
            </w: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  <w:lang w:val="pt"/>
              </w:rPr>
              <w:t xml:space="preserve">Logopedica  Nr 2 (2018) - </w:t>
            </w:r>
            <w:hyperlink r:id="R3ea45bfd7bf4425a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  <w:lang w:val="pt"/>
                </w:rPr>
                <w:t>https://czasopisma.uni.lodz.pl/logopedica/article/download/4665/pdf/13402</w:t>
              </w:r>
            </w:hyperlink>
          </w:p>
          <w:p w:rsidR="02EB7A88" w:rsidP="02EB7A88" w:rsidRDefault="02EB7A88" w14:paraId="5954B6A4" w14:textId="3656B50D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Hamerlińska A., (2022) Onkologopedia. Teoroa i Praktyka. </w:t>
            </w:r>
            <w:hyperlink r:id="R858eb2545aa5414d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Alfa-Medica Press</w:t>
              </w:r>
            </w:hyperlink>
          </w:p>
          <w:p w:rsidR="02EB7A88" w:rsidP="02EB7A88" w:rsidRDefault="02EB7A88" w14:paraId="560AE0D7" w14:textId="303877FF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2"/>
                <w:szCs w:val="22"/>
              </w:rPr>
              <w:t xml:space="preserve">Hemerlińska A., Gniezdzia-Buc I.:  Standardy postępowania logopedycznego w przypadku pacjentów onkologicznych z zakresu głowy i szyi leczonych w Gliwicach - </w:t>
            </w:r>
            <w:hyperlink r:id="R2d4dc35f958945e4">
              <w:r w:rsidRPr="02EB7A88" w:rsidR="02EB7A88">
                <w:rPr>
                  <w:rStyle w:val="Hyperlink"/>
                  <w:rFonts w:ascii="Calibri" w:hAnsi="Calibri" w:eastAsia="Calibri" w:cs="Calibri"/>
                  <w:i w:val="1"/>
                  <w:iCs w:val="1"/>
                  <w:sz w:val="22"/>
                  <w:szCs w:val="22"/>
                </w:rPr>
                <w:t>https://www.researchgate.net/publication/332380416_Standardy_postepowania</w:t>
              </w:r>
              <w:r w:rsidRPr="02EB7A88" w:rsidR="02EB7A88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_logopedycznego_w_przypadku_pacjentow_onkologicznych_z_zakresu_glowy_i_szyi_leczonych_w_Gliwickim_Oddziale_Centrum_Onkologii_The_standards_of_logopedic_treatment_in_case_of_oncol</w:t>
              </w:r>
            </w:hyperlink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 </w:t>
            </w:r>
          </w:p>
          <w:p w:rsidR="02EB7A88" w:rsidP="02EB7A88" w:rsidRDefault="02EB7A88" w14:paraId="7DEFBBEE" w14:textId="5550613F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Halczyk-Kowalik L., Stecewicz M.: (2023) „Będę się na nowo uczył mówić i połykać?” w: Logopedia 52/1, s. 177-196 - </w:t>
            </w:r>
            <w:hyperlink r:id="Rb22446ec78e84307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https://www.polskietowarzystwologopedyczne.pl/wp-content/uploads/2023/10/177-196-Halczy-Kowalik-LOGOP-52-1-Jubiileusz-30-10-2023.pdf</w:t>
              </w:r>
            </w:hyperlink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 </w:t>
            </w:r>
          </w:p>
          <w:p w:rsidR="02EB7A88" w:rsidP="02EB7A88" w:rsidRDefault="02EB7A88" w14:paraId="48A15E79" w14:textId="5172966F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Piotrowski, S., Chmielecka, J., Krakowczyk Ł., et al. (2021). Rekonstrukcja dużych ubytków po resekcji raka dna jamy ustnej dwoma płatami wolnymi (ALT i strzałkowym) na zespoleniach mikronaczyniowych oraz wolnym płatem chimerycznym (strzałkowym). Pol Otorhino Rev, 10(3), 1-7. </w:t>
            </w:r>
            <w:hyperlink r:id="R4017f19d56f04d85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https://doi.org/10.5604/01.3001.0015.2590</w:t>
              </w:r>
            </w:hyperlink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. </w:t>
            </w:r>
          </w:p>
          <w:p w:rsidR="02EB7A88" w:rsidP="02EB7A88" w:rsidRDefault="02EB7A88" w14:paraId="477D54CF" w14:textId="1605A168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Sojat, J., Gromek-Zabawska, B., Likus W., et al. (2024). Rehabilitacja pacjentów po laryngektomii – obszar współpracy otorynolaryngologa, fizjoterapeuty i onkologopedy. Pol Otorhino Rev, 13(4), 1-9. </w:t>
            </w:r>
            <w:hyperlink r:id="Re26d49dbd86e48e8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https://doi.org/10.5604/01.3001.0054.8394</w:t>
              </w:r>
            </w:hyperlink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.  </w:t>
            </w:r>
          </w:p>
          <w:p w:rsidR="02EB7A88" w:rsidP="02EB7A88" w:rsidRDefault="02EB7A88" w14:paraId="01A436DE" w14:textId="1C0E8972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>Tłokiński, W., Milewski S., Kaczorowska-Bray K., (2021) Gerontologopedia. Logopedia XXI wieku. Harmonia</w:t>
            </w:r>
          </w:p>
          <w:p w:rsidR="02EB7A88" w:rsidP="02EB7A88" w:rsidRDefault="02EB7A88" w14:paraId="4BBB7D92" w14:textId="60B83C8C">
            <w:pPr>
              <w:bidi w:val="0"/>
              <w:spacing w:before="0" w:beforeAutospacing="off" w:after="160" w:afterAutospacing="off" w:line="257" w:lineRule="auto"/>
              <w:ind w:left="360" w:right="0"/>
            </w:pP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Uzar-Szcześniak, K. (2017). Możliwości, ograniczenia i wyzwania rozwoju osób w podeszłym wieku: perspektywa filozofii i pedagogiki personalistycznej. </w:t>
            </w: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2"/>
                <w:szCs w:val="22"/>
              </w:rPr>
              <w:t>Konteksty Społeczne</w:t>
            </w: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 xml:space="preserve">, </w:t>
            </w:r>
            <w:r w:rsidRPr="02EB7A88" w:rsidR="02EB7A88">
              <w:rPr>
                <w:rFonts w:ascii="Calibri" w:hAnsi="Calibri" w:eastAsia="Calibri" w:cs="Calibri"/>
                <w:i w:val="1"/>
                <w:iCs w:val="1"/>
                <w:color w:val="00000A"/>
                <w:sz w:val="22"/>
                <w:szCs w:val="22"/>
              </w:rPr>
              <w:t>5</w:t>
            </w:r>
            <w:r w:rsidRPr="02EB7A88" w:rsidR="02EB7A88">
              <w:rPr>
                <w:rFonts w:ascii="Calibri" w:hAnsi="Calibri" w:eastAsia="Calibri" w:cs="Calibri"/>
                <w:color w:val="00000A"/>
                <w:sz w:val="22"/>
                <w:szCs w:val="22"/>
              </w:rPr>
              <w:t>(1), 64–77.</w:t>
            </w:r>
          </w:p>
        </w:tc>
      </w:tr>
      <w:tr w:rsidR="02EB7A88" w:rsidTr="02EB7A88" w14:paraId="5679520A">
        <w:trPr>
          <w:trHeight w:val="300"/>
        </w:trPr>
        <w:tc>
          <w:tcPr>
            <w:tcW w:w="90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2F709A41" w14:textId="6EBFE5EF">
            <w:pPr>
              <w:bidi w:val="0"/>
              <w:spacing w:before="0" w:beforeAutospacing="off" w:after="0" w:afterAutospacing="off"/>
            </w:pPr>
            <w:r w:rsidRPr="02EB7A88" w:rsidR="02EB7A88">
              <w:rPr>
                <w:rFonts w:ascii="Calibri" w:hAnsi="Calibri" w:eastAsia="Calibri" w:cs="Calibri"/>
                <w:color w:val="00000A"/>
                <w:sz w:val="24"/>
                <w:szCs w:val="24"/>
              </w:rPr>
              <w:t xml:space="preserve"> </w:t>
            </w: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>Netoteka:</w:t>
            </w:r>
          </w:p>
        </w:tc>
      </w:tr>
      <w:tr w:rsidR="02EB7A88" w:rsidTr="02EB7A88" w14:paraId="4207145C">
        <w:trPr>
          <w:trHeight w:val="300"/>
        </w:trPr>
        <w:tc>
          <w:tcPr>
            <w:tcW w:w="90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2EB7A88" w:rsidP="02EB7A88" w:rsidRDefault="02EB7A88" w14:paraId="6A31D233" w14:textId="20F3C9F4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0" w:afterAutospacing="off" w:line="276" w:lineRule="auto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hyperlink r:id="R3a209897c8cb4485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https://www.youtube.com/watch?v=-Dc6zx7kujs</w:t>
              </w:r>
            </w:hyperlink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Karmienie  z wykorzystaniem PEG</w:t>
            </w:r>
          </w:p>
          <w:p w:rsidR="02EB7A88" w:rsidP="02EB7A88" w:rsidRDefault="02EB7A88" w14:paraId="5B3DE06B" w14:textId="2774DC6C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0" w:afterAutospacing="off" w:line="276" w:lineRule="auto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hyperlink r:id="R31590e6afa15456a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https://youtu.be/epqBmA-kKYI?si=8mZiEBSbWMk43Djd</w:t>
              </w:r>
            </w:hyperlink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Nowotwory głowy i szyi  (nagranie  - Radio Kielce) </w:t>
            </w:r>
          </w:p>
          <w:p w:rsidR="02EB7A88" w:rsidP="02EB7A88" w:rsidRDefault="02EB7A88" w14:paraId="06E90D67" w14:textId="4B423972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0" w:afterAutospacing="off" w:line="276" w:lineRule="auto"/>
              <w:ind w:left="720" w:right="0" w:hanging="360"/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</w:pPr>
            <w:hyperlink r:id="Ra48def810d29473e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4"/>
                  <w:szCs w:val="24"/>
                  <w:u w:val="single"/>
                </w:rPr>
                <w:t>https://youtu.be/K9zDwrnLZg0?si=360uxBzh-0p1R_Rt</w:t>
              </w:r>
            </w:hyperlink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 - </w:t>
            </w:r>
            <w:hyperlink r:id="R48efcfab19da425c">
              <w:r w:rsidRPr="02EB7A88" w:rsidR="02EB7A8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00" w:themeColor="text1" w:themeTint="FF" w:themeShade="FF"/>
                  <w:sz w:val="24"/>
                  <w:szCs w:val="24"/>
                  <w:u w:val="single"/>
                </w:rPr>
                <w:t>Łódzki program profilaktyki nowotworów głowy i szyi – nowotwory jamy ustnej (ujęcie laryngologiczne):</w:t>
              </w:r>
            </w:hyperlink>
            <w:r>
              <w:br/>
            </w:r>
            <w:r>
              <w:br/>
            </w:r>
            <w:r w:rsidRPr="02EB7A88" w:rsidR="02EB7A8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>
              <w:br/>
            </w:r>
            <w:r>
              <w:br/>
            </w:r>
            <w:r w:rsidRPr="02EB7A88" w:rsidR="02EB7A88">
              <w:rPr>
                <w:rFonts w:ascii="Calibri" w:hAnsi="Calibri" w:eastAsia="Calibri" w:cs="Calibri"/>
                <w:strike w:val="0"/>
                <w:dstrike w:val="0"/>
                <w:color w:val="0000FF"/>
                <w:sz w:val="24"/>
                <w:szCs w:val="24"/>
                <w:u w:val="none"/>
              </w:rPr>
              <w:t xml:space="preserve"> </w:t>
            </w:r>
            <w:r>
              <w:br/>
            </w:r>
            <w:r>
              <w:br/>
            </w: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 xml:space="preserve"> </w:t>
            </w:r>
            <w:r>
              <w:br/>
            </w:r>
            <w:r>
              <w:br/>
            </w:r>
            <w:r w:rsidRPr="02EB7A88" w:rsidR="02EB7A88">
              <w:rPr>
                <w:rFonts w:ascii="Calibri" w:hAnsi="Calibri" w:eastAsia="Calibri" w:cs="Calibri"/>
                <w:b w:val="1"/>
                <w:bCs w:val="1"/>
                <w:color w:val="00000A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02EB7A88" wp14:paraId="46C00F70" wp14:textId="257D463E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575899D8" wp14:textId="13F8F41A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02EB7A88" wp14:paraId="34BDA354" wp14:textId="4C7DC349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highlight w:val="yellow"/>
          <w:lang w:val="pl-PL"/>
        </w:rPr>
        <w:t>Weryfikacja koordynatora kierunku – proszę o korektę wskazanych elementów</w:t>
      </w:r>
    </w:p>
    <w:p xmlns:wp14="http://schemas.microsoft.com/office/word/2010/wordml" w:rsidP="02EB7A88" wp14:paraId="64469F11" wp14:textId="0238E675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highlight w:val="yellow"/>
          <w:lang w:val="pl-PL"/>
        </w:rPr>
        <w:t xml:space="preserve">EDZ </w:t>
      </w:r>
      <w:r w:rsidRPr="02EB7A88" w:rsidR="07798E29">
        <w:rPr>
          <w:rFonts w:ascii="Calibri" w:hAnsi="Calibri" w:eastAsia="Calibri" w:cs="Calibri"/>
          <w:noProof w:val="0"/>
          <w:color w:val="00B050"/>
          <w:sz w:val="24"/>
          <w:szCs w:val="24"/>
          <w:lang w:val="pl-PL"/>
        </w:rPr>
        <w:t>- zrobione</w:t>
      </w:r>
    </w:p>
    <w:p xmlns:wp14="http://schemas.microsoft.com/office/word/2010/wordml" w:rsidP="02EB7A88" wp14:paraId="4D5FD886" wp14:textId="22DFFF05">
      <w:pPr>
        <w:bidi w:val="0"/>
        <w:spacing w:before="0" w:beforeAutospacing="off" w:after="200" w:afterAutospacing="off"/>
      </w:pPr>
      <w:r w:rsidRPr="02EB7A88" w:rsidR="07798E29">
        <w:rPr>
          <w:rFonts w:ascii="Calibri" w:hAnsi="Calibri" w:eastAsia="Calibri" w:cs="Calibri"/>
          <w:noProof w:val="0"/>
          <w:color w:val="00000A"/>
          <w:sz w:val="24"/>
          <w:szCs w:val="24"/>
          <w:highlight w:val="yellow"/>
          <w:lang w:val="pl-PL"/>
        </w:rPr>
        <w:t>17.01.2026</w:t>
      </w:r>
    </w:p>
    <w:p xmlns:wp14="http://schemas.microsoft.com/office/word/2010/wordml" w:rsidP="02EB7A88" wp14:paraId="31D4F2C0" wp14:textId="7937EB36">
      <w:pPr>
        <w:bidi w:val="0"/>
        <w:spacing w:before="0" w:beforeAutospacing="off" w:after="0" w:afterAutospacing="off"/>
      </w:pPr>
    </w:p>
    <w:p xmlns:wp14="http://schemas.microsoft.com/office/word/2010/wordml" wp14:paraId="57375426" wp14:textId="13E9943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6e25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7e7e176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a8120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4b827b4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530f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56fee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e4efc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B82A61"/>
    <w:rsid w:val="0072AC12"/>
    <w:rsid w:val="02EB7A88"/>
    <w:rsid w:val="07798E29"/>
    <w:rsid w:val="4007C8F8"/>
    <w:rsid w:val="63B82A61"/>
    <w:rsid w:val="64F70FDE"/>
    <w:rsid w:val="6F37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2A61"/>
  <w15:chartTrackingRefBased/>
  <w15:docId w15:val="{F8447EE1-85D3-42CB-B927-05DF2A4B4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zasopisma.uni.lodz.pl/logopedica/article/download/4665/pdf/13402" TargetMode="External" Id="R3ea45bfd7bf4425a" /><Relationship Type="http://schemas.openxmlformats.org/officeDocument/2006/relationships/hyperlink" Target="https://www.profinfo.pl/wydawnictwa/alfa-medica-press,1206.html" TargetMode="External" Id="R858eb2545aa5414d" /><Relationship Type="http://schemas.openxmlformats.org/officeDocument/2006/relationships/hyperlink" Target="https://www.researchgate.net/publication/332380416_Standardy_postepowania_logopedycznego_w_przypadku_pacjentow_onkologicznych_z_zakresu_glowy_i_szyi_leczonych_w_Gliwickim_Oddziale_Centrum_Onkologii_The_standards_of_logopedic_treatment_in_case_of_oncol" TargetMode="External" Id="R2d4dc35f958945e4" /><Relationship Type="http://schemas.openxmlformats.org/officeDocument/2006/relationships/hyperlink" Target="https://www.polskietowarzystwologopedyczne.pl/wp-content/uploads/2023/10/177-196-Halczy-Kowalik-LOGOP-52-1-Jubiileusz-30-10-2023.pdf" TargetMode="External" Id="Rb22446ec78e84307" /><Relationship Type="http://schemas.openxmlformats.org/officeDocument/2006/relationships/hyperlink" Target="https://doi.org/10.5604/01.3001.0015.2590" TargetMode="External" Id="R4017f19d56f04d85" /><Relationship Type="http://schemas.openxmlformats.org/officeDocument/2006/relationships/hyperlink" Target="https://doi.org/10.5604/01.3001.0054.8394" TargetMode="External" Id="Re26d49dbd86e48e8" /><Relationship Type="http://schemas.openxmlformats.org/officeDocument/2006/relationships/hyperlink" Target="https://www.youtube.com/watch?v=-Dc6zx7kujs" TargetMode="External" Id="R3a209897c8cb4485" /><Relationship Type="http://schemas.openxmlformats.org/officeDocument/2006/relationships/hyperlink" Target="https://youtu.be/epqBmA-kKYI?si=8mZiEBSbWMk43Djd" TargetMode="External" Id="R31590e6afa15456a" /><Relationship Type="http://schemas.openxmlformats.org/officeDocument/2006/relationships/hyperlink" Target="https://youtu.be/K9zDwrnLZg0?si=360uxBzh-0p1R_Rt" TargetMode="External" Id="Ra48def810d29473e" /><Relationship Type="http://schemas.openxmlformats.org/officeDocument/2006/relationships/hyperlink" Target="https://youtu.be/K9zDwrnLZg0?si=360uxBzh-0p1R_Rt" TargetMode="External" Id="R48efcfab19da425c" /><Relationship Type="http://schemas.openxmlformats.org/officeDocument/2006/relationships/numbering" Target="numbering.xml" Id="R3fca7b644f7747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35C6E-317B-4D67-A6E4-1342509E1F72}"/>
</file>

<file path=customXml/itemProps2.xml><?xml version="1.0" encoding="utf-8"?>
<ds:datastoreItem xmlns:ds="http://schemas.openxmlformats.org/officeDocument/2006/customXml" ds:itemID="{E6BA8F5D-6CE9-40F9-B9EF-E8723CDC89D9}"/>
</file>

<file path=customXml/itemProps3.xml><?xml version="1.0" encoding="utf-8"?>
<ds:datastoreItem xmlns:ds="http://schemas.openxmlformats.org/officeDocument/2006/customXml" ds:itemID="{F95EBE5B-B6CE-49E8-B9D8-B1DCB78A9E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Amilkiewicz-Marek</dc:creator>
  <keywords/>
  <dc:description/>
  <lastModifiedBy>Renata Kołodziejczyk</lastModifiedBy>
  <dcterms:created xsi:type="dcterms:W3CDTF">2026-03-02T22:04:08.0000000Z</dcterms:created>
  <dcterms:modified xsi:type="dcterms:W3CDTF">2026-03-03T05:37:51.3009609Z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