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Arial"/>
          <w:b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 xml:space="preserve">Uchwała </w:t>
        <w:br/>
        <w:t xml:space="preserve">Rady Wydziału Prawa, Prawa Kanonicznego i Administracji </w:t>
      </w:r>
    </w:p>
    <w:p>
      <w:pPr>
        <w:pStyle w:val="Normal"/>
        <w:spacing w:before="0" w:after="120"/>
        <w:jc w:val="center"/>
        <w:rPr>
          <w:rFonts w:ascii="Calibri" w:hAnsi="Calibri" w:cs="Arial"/>
          <w:b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 xml:space="preserve">w sprawie trybu i kryteriów wyrażania zgody na przeprowadzenie postępowania habilitacyjnego z dnia </w:t>
      </w:r>
      <w:r>
        <w:rPr>
          <w:rFonts w:cs="Arial" w:ascii="Calibri" w:hAnsi="Calibri"/>
          <w:b/>
          <w:bCs/>
          <w:sz w:val="24"/>
          <w:szCs w:val="24"/>
        </w:rPr>
        <w:t xml:space="preserve">3 czerwca </w:t>
      </w:r>
      <w:r>
        <w:rPr>
          <w:rFonts w:cs="Arial" w:ascii="Calibri" w:hAnsi="Calibri"/>
          <w:b/>
          <w:bCs/>
          <w:sz w:val="24"/>
          <w:szCs w:val="24"/>
        </w:rPr>
        <w:t xml:space="preserve">2015 r. </w:t>
      </w:r>
    </w:p>
    <w:p>
      <w:pPr>
        <w:pStyle w:val="Normal"/>
        <w:spacing w:before="0" w:after="120"/>
        <w:jc w:val="center"/>
        <w:rPr/>
      </w:pPr>
      <w:r>
        <w:rPr>
          <w:rFonts w:cs="Arial" w:ascii="Calibri" w:hAnsi="Calibri"/>
          <w:b/>
          <w:bCs/>
          <w:i/>
          <w:sz w:val="24"/>
          <w:szCs w:val="24"/>
        </w:rPr>
        <w:t xml:space="preserve"> </w:t>
      </w:r>
    </w:p>
    <w:p>
      <w:pPr>
        <w:pStyle w:val="Normal"/>
        <w:spacing w:before="0" w:after="120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§ 1</w:t>
      </w:r>
    </w:p>
    <w:p>
      <w:pPr>
        <w:pStyle w:val="ListParagraph"/>
        <w:numPr>
          <w:ilvl w:val="0"/>
          <w:numId w:val="4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Niniejsza uchwała określa kryteria stosowane przy podejmowaniu decyzji w sprawie zgody na przeprowadzenie postępowania habilitacyjnego przez Radę Wydziału Prawa, Prawa Kanonicznego i Administracji Katolickiego Uniwersytetu Lubelskiego Jana Pawła II (dalej: Rada Wydziału), zgodnie z art. 18a ust. 2 i 3 ustawy </w:t>
      </w:r>
      <w:r>
        <w:rPr>
          <w:rFonts w:cs="Arial" w:ascii="Calibri" w:hAnsi="Calibri"/>
          <w:sz w:val="24"/>
          <w:szCs w:val="24"/>
        </w:rPr>
        <w:t xml:space="preserve">z dnia 14 marca 2003 r. o stopniach naukowych i tytule naukowym oraz o stopniach i tytule w zakresie sztuki (Dz. U. Nr 65, poz. 595 ze zm.; dalej: ustawa o stopniach naukowych u tytule) i na podstawie wniosku o wszczęcie postępowania habilitacyjnego (dalej: wniosek) przekazanego za pośrednictwem Centralnej Komisji do Spraw Stopni i Tytułów. </w:t>
      </w:r>
    </w:p>
    <w:p>
      <w:pPr>
        <w:pStyle w:val="ListParagraph"/>
        <w:numPr>
          <w:ilvl w:val="0"/>
          <w:numId w:val="4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Niniejsza uchwała nie wiąże wnioskodawcy, ale ma dla niego jedynie charakter rekomendacji i wskazówki.</w:t>
      </w:r>
    </w:p>
    <w:p>
      <w:pPr>
        <w:pStyle w:val="ListParagraph"/>
        <w:numPr>
          <w:ilvl w:val="0"/>
          <w:numId w:val="4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Niniejszą uchwałę stosuje się odpowiednio do prezentacji dorobku i osiągnięć naukowych wnioskodawcy, odbywającej się zwyczajowo na posiedzeniu właściwego Instytutu przed formalnym wszczęciem postępowania habilitacyjnego. Stosowny wniosek powinien być opracowany z uwzględnieniem metodyki przyjętej w niniejszej uchwale. </w:t>
      </w:r>
    </w:p>
    <w:p>
      <w:pPr>
        <w:pStyle w:val="Normal"/>
        <w:spacing w:before="0" w:after="120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§ 2 </w:t>
      </w:r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Kryteria, na podstawie których podejmowana jest decyzja w sprawie zgody na przeprowadzenie postępowania habilitacyjnego, określają przepisy art. 16 i n. ustawy</w:t>
      </w:r>
      <w:r>
        <w:rPr>
          <w:rFonts w:cs="Arial" w:ascii="Calibri" w:hAnsi="Calibri"/>
          <w:sz w:val="24"/>
          <w:szCs w:val="24"/>
        </w:rPr>
        <w:t xml:space="preserve"> o stopniach naukowych i tytule oraz przepisy rozporządzenia Ministra Nauki i Szkolnictwa Wyższego z dnia 1 września 2011 r. </w:t>
      </w:r>
      <w:r>
        <w:rPr>
          <w:rFonts w:cs="Arial" w:ascii="Calibri" w:hAnsi="Calibri"/>
          <w:bCs/>
          <w:sz w:val="24"/>
          <w:szCs w:val="24"/>
        </w:rPr>
        <w:t xml:space="preserve">w sprawie kryteriów oceny osiągnięć osoby ubiegającej się o nadanie stopnia doktora habilitowanego (Dz. U. Nr 196, poz. 1165 ze zm.). </w:t>
      </w:r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Kwalifikacja i wartościowanie osiągnięć, na podstawie których jest podejmowana decyzja w sprawie zgody na przeprowadzenie postępowania habilitacyjnego, następuje z uwzględnieniem kryteriów określonych w przepisach rozporządzenia Ministra Nauki i Szkolnictwa Wyższego z dnia 13 lipca 2012 r. w sprawie kryteriów I trybu przyznawania kategorii naukowej jednostkom naukowym (Dz. U. z 2012 r. poz. 877 ze zm.; dalej: rozporządzenie w sprawie przyznawania kategorii naukowej), przy uwzględnieniu postanowień Regulaminu podziału środków przeznaczonych na działalność statutową (utrzymanie potencjału naukowego) na Wydziale Prawa, Prawa Kanonicznego i Administracji Katolickiego Uniwersytetu Lubelskiego Jana Pawła II, ogłoszonego na stronie internetowej Wydziału.</w:t>
      </w:r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Wykładni terminów używanych dla określenia poszczególnych kategorii osiągnięć naukowych habilitanta należy dokonywać z uwzględnieniem przepisów rozporządzenia w sprawie przyznawania kategorii naukowej. </w:t>
      </w:r>
    </w:p>
    <w:p>
      <w:pPr>
        <w:pStyle w:val="Normal"/>
        <w:spacing w:before="0" w:after="120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§ 3</w:t>
      </w:r>
    </w:p>
    <w:p>
      <w:pPr>
        <w:pStyle w:val="Normal"/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1. </w:t>
      </w:r>
      <w:r>
        <w:rPr>
          <w:rFonts w:cs="Arial" w:ascii="Calibri" w:hAnsi="Calibri"/>
          <w:sz w:val="24"/>
          <w:szCs w:val="24"/>
        </w:rPr>
        <w:t>Kryteria oceny w zakresie osiągnięć naukowo-badawczych habilitanta obejmują:</w:t>
      </w:r>
    </w:p>
    <w:p>
      <w:pPr>
        <w:pStyle w:val="ListParagraph"/>
        <w:numPr>
          <w:ilvl w:val="0"/>
          <w:numId w:val="5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autorstwo lub współautorstwo publikacji naukowych w czasopismach znajdujących się w bazach Journal Citation Reports (JCR) lub Web of Science (WoS), bądź na liście European Reference Index for the Humanities (ERIH),</w:t>
      </w:r>
    </w:p>
    <w:p>
      <w:pPr>
        <w:pStyle w:val="ListParagraph"/>
        <w:numPr>
          <w:ilvl w:val="0"/>
          <w:numId w:val="5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autorstwo lub współautorstwo monografii, publikacji naukowych w </w:t>
      </w:r>
      <w:r>
        <w:rPr>
          <w:rFonts w:cs="Arial" w:ascii="Calibri" w:hAnsi="Calibri"/>
          <w:i/>
          <w:sz w:val="24"/>
          <w:szCs w:val="24"/>
        </w:rPr>
        <w:t xml:space="preserve">recenzowanych </w:t>
      </w:r>
      <w:r>
        <w:rPr>
          <w:rFonts w:cs="Arial" w:ascii="Calibri" w:hAnsi="Calibri"/>
          <w:sz w:val="24"/>
          <w:szCs w:val="24"/>
        </w:rPr>
        <w:t xml:space="preserve">czasopismach międzynarodowych lub krajowych innych niż znajdujące się w bazach lub na liście, o których mowa w pkt 1, </w:t>
      </w:r>
      <w:r>
        <w:rPr>
          <w:rFonts w:cs="Arial" w:ascii="Calibri" w:hAnsi="Calibri"/>
          <w:i/>
          <w:sz w:val="24"/>
          <w:szCs w:val="24"/>
        </w:rPr>
        <w:t>w szczególności</w:t>
      </w:r>
      <w:r>
        <w:rPr>
          <w:rFonts w:cs="Arial" w:ascii="Calibri" w:hAnsi="Calibri"/>
          <w:sz w:val="24"/>
          <w:szCs w:val="24"/>
        </w:rPr>
        <w:t xml:space="preserve"> uwzględnionych na liście B ogłoszonej przez Ministra Nauki i Szkolnictwa Wyższego;</w:t>
      </w:r>
    </w:p>
    <w:p>
      <w:pPr>
        <w:pStyle w:val="ListParagraph"/>
        <w:numPr>
          <w:ilvl w:val="0"/>
          <w:numId w:val="5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autorstwo lub współautorstwo opracowań zbiorowych, katalogów zbiorów, dokumentacji prac badawczych, ekspertyz;</w:t>
      </w:r>
    </w:p>
    <w:p>
      <w:pPr>
        <w:pStyle w:val="ListParagraph"/>
        <w:numPr>
          <w:ilvl w:val="0"/>
          <w:numId w:val="5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sumaryczny impact factor publikacji naukowych według listy Journal Citation Reports (JCR), zgodnie z rokiem opublikowania, liczbę cytowań publikacji według bazy Web of Science (WoS) lub indeks Hirscha opublikowanych publikacji według bazy Web of Science (WoS);</w:t>
      </w:r>
    </w:p>
    <w:p>
      <w:pPr>
        <w:pStyle w:val="ListParagraph"/>
        <w:numPr>
          <w:ilvl w:val="0"/>
          <w:numId w:val="5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kierowanie międzynarodowymi lub krajowymi projektami badawczymi lub udział w takich projektach;</w:t>
      </w:r>
    </w:p>
    <w:p>
      <w:pPr>
        <w:pStyle w:val="ListParagraph"/>
        <w:numPr>
          <w:ilvl w:val="0"/>
          <w:numId w:val="5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międzynarodowe lub krajowe nagrody za działalność odpowiednio naukową;</w:t>
      </w:r>
    </w:p>
    <w:p>
      <w:pPr>
        <w:pStyle w:val="ListParagraph"/>
        <w:numPr>
          <w:ilvl w:val="0"/>
          <w:numId w:val="5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wygłoszenie referatów na międzynarodowych lub krajowych konferencjach tematycznych.</w:t>
      </w:r>
    </w:p>
    <w:p>
      <w:pPr>
        <w:pStyle w:val="Normal"/>
        <w:tabs>
          <w:tab w:val="right" w:pos="284" w:leader="none"/>
          <w:tab w:val="left" w:pos="408" w:leader="none"/>
        </w:tabs>
        <w:spacing w:before="0" w:after="120"/>
        <w:ind w:left="408" w:hanging="408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2. Kryteria oceny w zakresie dorobku dydaktycznego i popularyzatorskiego oraz współpracy międzynarodowej habilitanta we wszystkich obszarach wiedzy obejmują: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uczestnictwo w programach europejskich i innych programach międzynarodowych lub krajowych;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udział w międzynarodowych lub krajowych konferencjach naukowych lub udział w komitetach organizacyjnych tych konferencji;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otrzymane nagrody i wyróżnienia;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udział w konsorcjach i sieciach badawczych;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kierowanie projektami realizowanymi we współpracy z naukowcami z innych ośrodków polskich i zagranicznych, a w przypadku badań stosowanych we współpracy z przedsiębiorcami;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udział w komitetach redakcyjnych i radach naukowych czasopism;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członkostwo w międzynarodowych lub krajowych organizacjach i towarzystwach naukowych;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osiągnięcia dydaktyczne i w zakresie popularyzacji nauki lub sztuki;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opiekę naukową nad studentami (promotorstwo prac dyplomowych, pełnienie funkcji tutora studenta studiów międzywydziałowych itp.);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opiekę naukową nad doktorantami w charakterze opiekuna naukowego lub promotora pomocniczego, z podaniem tytułów rozpraw doktorskich;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staże w zagranicznych lub krajowych ośrodkach naukowych lub akademickich;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wykonanie ekspertyz lub innych opracowań na zamówienie organów władzy publicznej, samorządu terytorialnego, podmiotów realizujących zadania publiczne lub przedsiębiorców;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udział w zespołach eksperckich i konkursowych;</w:t>
      </w:r>
    </w:p>
    <w:p>
      <w:pPr>
        <w:pStyle w:val="ListParagraph"/>
        <w:numPr>
          <w:ilvl w:val="0"/>
          <w:numId w:val="6"/>
        </w:numPr>
        <w:tabs>
          <w:tab w:val="right" w:pos="284" w:leader="none"/>
          <w:tab w:val="left" w:pos="408" w:leader="none"/>
        </w:tabs>
        <w:spacing w:before="0" w:after="120"/>
        <w:ind w:left="1434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recenzowanie projektów międzynarodowych lub krajowych oraz publikacji w czasopismach międzynarodowych i krajowych.</w:t>
      </w:r>
    </w:p>
    <w:p>
      <w:pPr>
        <w:pStyle w:val="Normal"/>
        <w:spacing w:before="0" w:after="120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§ 4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Zaleca się, aby wniosek wskazywał wszystkie kategorie osiągnięć wymienionych w § 3 niniejszej Uchwały. 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W razie spełnienia określonej przesłanki należy podać wszystkie dane wymagane do precyzyjnego określenia rodzaju osiągnięcia naukowo-badawczego (miejsce publikacji, liczba stron lub liczba znaków, ISBN lub ISSN, redaktorzy lub współautorzy; miejsce, organizator i zasięg konferencji, tytuł konferencji i tytuł wystąpienia; nazwę projektu badawczego, konsorcjum lub sieci badawczej, charakter udziału habilitanta, wyniki jego prac itp.). W wypadku osiągnięć lub prac wieloautorskich należy określić ponadto udział autorski habilitanta, rozumiany jako</w:t>
      </w:r>
      <w:r>
        <w:rPr>
          <w:rFonts w:cs="Arial" w:ascii="Calibri" w:hAnsi="Calibri"/>
          <w:sz w:val="24"/>
          <w:szCs w:val="24"/>
        </w:rPr>
        <w:t xml:space="preserve"> indywidualny, precyzyjnie określony przez habilitanta, w tym także procentowo, jego wkład w autorstwo dzieła</w:t>
      </w:r>
      <w:r>
        <w:rPr>
          <w:rFonts w:cs="Arial" w:ascii="Calibri" w:hAnsi="Calibri"/>
          <w:bCs/>
          <w:sz w:val="24"/>
          <w:szCs w:val="24"/>
        </w:rPr>
        <w:t xml:space="preserve">. Zalecane jest potwierdzenie udziału autorskiego habilitanta przez redaktora lub współautora (współautorów) dzieła. 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W razie niespełnienia określonej przesłanki wymienionej w § 3, we wniosku należy wpisać „brak”. 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W zakresie prezentacji osiągnięć naukowo-badawczych zaleca się czytelne, syntetyczne przedstawianie tez badawczych lub innych elementów nowatorskich zawartych w pracach habilitanta, na tle zastanego stanu nauki. 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W razie braku możliwości określenia liczby cytowań w WoS lub indeksu Hirscha należy posłużyć się innym miarodajnym kryterium zasięgu oddziaływania publikacji habilitanta (np. indeksem cytowań wg bazy Publish or Perish), bądź udokumentować cytowania prac habilitanta w publikacjach naukowych z danej dyscypliny. 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Wymienione we wniosku osiągnięcia habilitanta mogą uwzględniać wyłącznie osiągnięcia z dziedziny nauk prawnych. Jeżeli habilitant posiada osiągnięcia uzyskane odrębnie w zakresie poszczególnych dyscyplin (prawo, prawo kanoniczne, administracja), należy powyższy podział uwzględnić we wniosku. Zaleca się również wskazanie we wniosku dominującej w dorobku habilitanta specjalności naukowej, przy uwzględnieniu gałęziowego podziału nauk prawnych. </w:t>
      </w:r>
    </w:p>
    <w:p>
      <w:pPr>
        <w:pStyle w:val="ListParagraph"/>
        <w:numPr>
          <w:ilvl w:val="0"/>
          <w:numId w:val="1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Odrębnie od osiągnięć naukowo-badawczych należy wymienić wyniki działalności popularyzatorskiej habilitanta, w szczególności autorstwo lub współautorstwo podręczników akademickich, publikacji, w których nie korzysta się z aparaty naukowej (krytycznej) oraz publikacji w czasopismach nierecenzowanych lub nie mających charakteru naukowego. </w:t>
      </w:r>
    </w:p>
    <w:p>
      <w:pPr>
        <w:pStyle w:val="Normal"/>
        <w:spacing w:before="0" w:after="120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§ 5</w:t>
      </w:r>
    </w:p>
    <w:p>
      <w:pPr>
        <w:pStyle w:val="ListParagraph"/>
        <w:numPr>
          <w:ilvl w:val="0"/>
          <w:numId w:val="7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Zaleca się złożenie przez wnioskodawcę co najmniej jednego kompletu oryginałów lub kopii publikacji, które mają s</w:t>
      </w:r>
      <w:bookmarkStart w:id="0" w:name="_GoBack"/>
      <w:bookmarkEnd w:id="0"/>
      <w:r>
        <w:rPr>
          <w:rFonts w:cs="Arial" w:ascii="Calibri" w:hAnsi="Calibri"/>
          <w:bCs/>
          <w:sz w:val="24"/>
          <w:szCs w:val="24"/>
        </w:rPr>
        <w:t xml:space="preserve">tanowić przedmiot oceny w ramach postępowania habilitacyjnego oraz innych dokumentów potwierdzających pozostałe osiągnięcia wymienione w § 3, najpóźniej w dacie przesłania wniosku przez Centralną Komisję do Spraw Stopni i Tytułów. </w:t>
      </w:r>
    </w:p>
    <w:p>
      <w:pPr>
        <w:pStyle w:val="ListParagraph"/>
        <w:numPr>
          <w:ilvl w:val="0"/>
          <w:numId w:val="7"/>
        </w:numPr>
        <w:spacing w:before="0" w:after="120"/>
        <w:ind w:left="357" w:hanging="3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 xml:space="preserve">Jeżeli szczególnym osiągnięciem podlegającym ocenie w ramach postępowania habilitacyjnego jest monografia naukowa lub część pracy zbiorowej, należy złożyć również oryginały lub kopie recenzji wydawniczych. Jeżeli szczególnym osiągnięciem podlegającym ocenie w ramach postępowania habilitacyjnego jest jednotematyczny cykl publikacji recenzje wydawnicze należy złożyć, jeżeli jest to możliwe. </w:t>
      </w:r>
    </w:p>
    <w:p>
      <w:pPr>
        <w:pStyle w:val="Normal"/>
        <w:spacing w:before="0" w:after="120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cs="Arial" w:ascii="Calibri" w:hAnsi="Calibri"/>
          <w:bCs/>
          <w:sz w:val="24"/>
          <w:szCs w:val="24"/>
        </w:rPr>
        <w:t>§ 6</w:t>
      </w:r>
    </w:p>
    <w:p>
      <w:pPr>
        <w:pStyle w:val="ListParagraph"/>
        <w:numPr>
          <w:ilvl w:val="0"/>
          <w:numId w:val="3"/>
        </w:numPr>
        <w:spacing w:before="0"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Decyzja w sprawie zgody na przeprowadzenie postępowania habilitacyjnego jest podejmowana po ocenie całokształtu sprawy i przy uwzględnieniu następujących przesłanek koniecznych (minimalnych): </w:t>
      </w:r>
    </w:p>
    <w:p>
      <w:pPr>
        <w:pStyle w:val="ListParagraph"/>
        <w:numPr>
          <w:ilvl w:val="1"/>
          <w:numId w:val="3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uzyskania co najmniej 60 punktów za osiągnięcia polegające na autorstwie lub współautorstwie publikacji naukowych wymienionych w § 3 za cały okres podlegający ocenie w ramach postępowania habilitacyjnego (tj. od daty uzyskania stopnia doktora do daty wystąpienia z wnioskiem o wszczęcie postępowania habilitacyjnego), jednak nie mniej niż 7 punktów średniorocznie za cały okres podlegający ocenie; </w:t>
      </w:r>
    </w:p>
    <w:p>
      <w:pPr>
        <w:pStyle w:val="Normal"/>
        <w:numPr>
          <w:ilvl w:val="1"/>
          <w:numId w:val="3"/>
        </w:numPr>
        <w:spacing w:lineRule="auto" w:line="360" w:before="0" w:after="120"/>
        <w:jc w:val="both"/>
        <w:rPr>
          <w:i w:val="false"/>
          <w:i w:val="false"/>
          <w:iCs w:val="false"/>
        </w:rPr>
      </w:pPr>
      <w:r>
        <w:rPr>
          <w:rFonts w:eastAsia="Times New Roman" w:cs="Arial" w:ascii="Calibri" w:hAnsi="Calibri"/>
          <w:i w:val="false"/>
          <w:iCs w:val="false"/>
          <w:sz w:val="24"/>
          <w:szCs w:val="24"/>
          <w:lang w:eastAsia="zh-CN" w:bidi="hi-IN"/>
        </w:rPr>
        <w:t>wykazania się publikacją obcojęzyczną w zagranicznym lub recenzowanym czasopiśmie naukowym autorstwem lub współautorstwem monografii w języku obcym</w:t>
      </w:r>
    </w:p>
    <w:p>
      <w:pPr>
        <w:pStyle w:val="ListParagraph"/>
        <w:numPr>
          <w:ilvl w:val="1"/>
          <w:numId w:val="3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wykazania się aktywnością naukową w większości z podstawowych grup osiągnięć naukowo-badawczych, dydaktycznych, popularyzatorskich oraz w zakresie współpracy międzynarodowej, w postaci: (a) publikacji naukowych; (b) staży krajowych i międzynarodowych oraz aktywnego udziału w konferencjach naukowych krajowych i międzynarodowych; (c) kierownictwa lub udziału w projektach badawczych finansowanych w trybie krajowych lub międzynarodowych postępowań konkursowych.   </w:t>
      </w:r>
    </w:p>
    <w:p>
      <w:pPr>
        <w:pStyle w:val="ListParagraph"/>
        <w:numPr>
          <w:ilvl w:val="0"/>
          <w:numId w:val="3"/>
        </w:numPr>
        <w:spacing w:before="0"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Z zachowaniem ust. 1 Rada Wydziału podejmuje negatywną decyzję w sprawie wyrażenia zgody na przeprowadzenie postępowania habilitacyjnego także w wypadku, gdy: </w:t>
      </w:r>
    </w:p>
    <w:p>
      <w:pPr>
        <w:pStyle w:val="ListParagraph"/>
        <w:numPr>
          <w:ilvl w:val="1"/>
          <w:numId w:val="3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przeważającą część dorobku naukowo-badawczego potencjalnego wnioskodawcy stanowią: opracowania popularyzatorskie (książkowe lub ogłaszane w periodykach nie mających charakteru naukowego), podręczniki akademickie, opracowania nierecenzowane, opracowania wydane w ośrodku naukowym, w którym jest on afiliowany, opracowania przygotowane we współautorstwie, zwłaszcza bez wyraźnie wskazanego udziału autorskiego; </w:t>
      </w:r>
    </w:p>
    <w:p>
      <w:pPr>
        <w:pStyle w:val="ListParagraph"/>
        <w:numPr>
          <w:ilvl w:val="1"/>
          <w:numId w:val="3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przeważająca część dorobku naukowo-badawczego powstała w okresie bezpośrednio poprzedzającym wystąpienie z wnioskiem o wszczęcie postępowania habilitacyjnego, zwłaszcza jeżeli są to opracowania zbieżne tematycznie;  </w:t>
      </w:r>
    </w:p>
    <w:p>
      <w:pPr>
        <w:pStyle w:val="ListParagraph"/>
        <w:numPr>
          <w:ilvl w:val="1"/>
          <w:numId w:val="3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dorobek naukowo-badawczy jest nadmiernie rozproszony i obejmuje opracowania z zakresu wielu różnych dyscyplin lub specjalności; </w:t>
      </w:r>
    </w:p>
    <w:p>
      <w:pPr>
        <w:pStyle w:val="ListParagraph"/>
        <w:numPr>
          <w:ilvl w:val="1"/>
          <w:numId w:val="3"/>
        </w:numPr>
        <w:spacing w:before="0" w:after="12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potencjalny wnioskodawca nie jest w stanie wykazać się jakimikolwiek osiągnięciami w zakresie międzynarodowej współpracy naukowo-badawczej (publikacje obcojęzyczne, staże zagraniczne, zagraniczne konferencje międzynarodowe, międzynarodowe projekty badawcze finansowane w trybie krajowych lub międzynarodowych postępowań konkursowych). </w:t>
      </w:r>
    </w:p>
    <w:p>
      <w:pPr>
        <w:pStyle w:val="Normal"/>
        <w:spacing w:before="0" w:after="120"/>
        <w:jc w:val="center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§ 7</w:t>
      </w:r>
    </w:p>
    <w:p>
      <w:pPr>
        <w:pStyle w:val="Normal"/>
        <w:numPr>
          <w:ilvl w:val="0"/>
          <w:numId w:val="8"/>
        </w:numPr>
        <w:spacing w:before="0"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Jeżeli nie spowoduje to nadmiernej zwłoki w postępowaniu, Dziekan Wydziału, przed poddaniem sprawy pod głosowanie na Radzie Wydziału lub po uwzględnieniu dyskusji przeprowadzonej na Radzie  Wydziału, może zwrócić się do właściwego merytorycznie samodzielnego pracownika naukowego z prośbą o przygotowanie rekomendacji co do dalszego trybu postępowania. </w:t>
      </w:r>
    </w:p>
    <w:p>
      <w:pPr>
        <w:pStyle w:val="Normal"/>
        <w:numPr>
          <w:ilvl w:val="0"/>
          <w:numId w:val="8"/>
        </w:numPr>
        <w:spacing w:before="0"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Bezpośrednio przed poddaniem pod głosowanie wniosku o wyrażenie zgody na przeprowadzenie postępowania habilitacyjnego na posiedzeniu Rady Wydziału Dyrektor właściwego Instytutu przedstawia zwięźle przebieg prezentacji dorobku wnioskodawcy na posiedzeniu Rady Instytutu przeprowadzonej zgodnie z § 1 ust. 3, a pracownik wskazany przez Dziekana Wydziału zgodnie z ust. 1 przedstawia motywy i konkluzje swojej rekomendacji co do dalszego trybu postępowania. </w:t>
      </w:r>
    </w:p>
    <w:p>
      <w:pPr>
        <w:pStyle w:val="Normal"/>
        <w:spacing w:before="0" w:after="120"/>
        <w:jc w:val="center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§ 8 </w:t>
      </w:r>
    </w:p>
    <w:p>
      <w:pPr>
        <w:pStyle w:val="Normal"/>
        <w:spacing w:before="0" w:after="120"/>
        <w:jc w:val="both"/>
        <w:rPr/>
      </w:pPr>
      <w:r>
        <w:rPr>
          <w:rFonts w:cs="Arial" w:ascii="Calibri" w:hAnsi="Calibri"/>
          <w:sz w:val="24"/>
          <w:szCs w:val="24"/>
        </w:rPr>
        <w:t xml:space="preserve">Niniejsza uchwała wchodzi w życie z dniem jej powzięcia. 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Calibri" w:hAnsi="Calibri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Calibri" w:hAnsi="Calibri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/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Calibri" w:hAnsi="Calibri"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Calibri" w:hAnsi="Calibri"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Calibri" w:hAnsi="Calibri"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Calibri" w:hAnsi="Calibri"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b/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b/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b/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b/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b/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b/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b/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b/>
        <w:rFonts w:ascii="Calibri" w:hAnsi="Calibri"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7794"/>
    <w:pPr>
      <w:widowControl w:val="false"/>
      <w:suppressAutoHyphens w:val="true"/>
      <w:bidi w:val="0"/>
      <w:jc w:val="left"/>
    </w:pPr>
    <w:rPr>
      <w:rFonts w:ascii="Verdana" w:hAnsi="Verdana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d46e9e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ab508e"/>
    <w:rPr>
      <w:rFonts w:ascii="Verdana" w:hAnsi="Verdan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ab508e"/>
    <w:rPr>
      <w:rFonts w:cs="Times New Roman"/>
      <w:vertAlign w:val="superscript"/>
    </w:rPr>
  </w:style>
  <w:style w:type="character" w:styleId="Annotationreference">
    <w:name w:val="annotation reference"/>
    <w:basedOn w:val="DefaultParagraphFont"/>
    <w:uiPriority w:val="99"/>
    <w:semiHidden/>
    <w:qFormat/>
    <w:rsid w:val="005c765c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66a97"/>
    <w:rPr>
      <w:rFonts w:ascii="Verdana" w:hAnsi="Verdana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66a97"/>
    <w:rPr>
      <w:rFonts w:ascii="Verdana" w:hAnsi="Verdana"/>
      <w:b/>
      <w:bCs/>
      <w:sz w:val="20"/>
      <w:szCs w:val="20"/>
    </w:rPr>
  </w:style>
  <w:style w:type="character" w:styleId="ListLabel1">
    <w:name w:val="ListLabel 1"/>
    <w:qFormat/>
    <w:rPr>
      <w:rFonts w:ascii="Calibri" w:hAnsi="Calibri" w:cs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abela" w:customStyle="1">
    <w:name w:val="Tabela"/>
    <w:basedOn w:val="Podpis"/>
    <w:uiPriority w:val="99"/>
    <w:qFormat/>
    <w:rsid w:val="001e7794"/>
    <w:pPr>
      <w:widowControl w:val="false"/>
      <w:bidi w:val="0"/>
      <w:jc w:val="lef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e43c2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d46e9e"/>
    <w:pPr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qFormat/>
    <w:rsid w:val="00ab508e"/>
    <w:pPr/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5c765c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5c765c"/>
    <w:pPr/>
    <w:rPr>
      <w:b/>
      <w:bCs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LibreOffice/4.4.5.2$Windows_x86 LibreOffice_project/a22f674fd25a3b6f45bdebf25400ed2adff0ff99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2015-06-01T17:04:00Z</dcterms:created>
  <dc:creator>Andrzej Herbet</dc:creator>
  <dc:language>pl-PL</dc:language>
  <cp:lastPrinted>2015-10-20T09:22:31Z</cp:lastPrinted>
  <dcterms:modified xsi:type="dcterms:W3CDTF">2015-10-20T09:39:57Z</dcterms:modified>
  <cp:revision>7</cp:revision>
  <dc:title>Dz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