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83" w:rsidRDefault="00183583" w:rsidP="00183583">
      <w:pPr>
        <w:rPr>
          <w:b/>
        </w:rPr>
      </w:pPr>
      <w:r>
        <w:rPr>
          <w:b/>
        </w:rPr>
        <w:t xml:space="preserve">KARTA PRZEDMIOTU </w:t>
      </w:r>
    </w:p>
    <w:p w:rsidR="00183583" w:rsidRDefault="00183583" w:rsidP="00183583">
      <w:pPr>
        <w:rPr>
          <w:b/>
        </w:rPr>
      </w:pPr>
    </w:p>
    <w:p w:rsidR="00183583" w:rsidRPr="00556FCA" w:rsidRDefault="00183583" w:rsidP="00183583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583" w:rsidTr="00F45F6F">
        <w:tc>
          <w:tcPr>
            <w:tcW w:w="4606" w:type="dxa"/>
          </w:tcPr>
          <w:p w:rsidR="00183583" w:rsidRDefault="00183583" w:rsidP="00F45F6F">
            <w:r>
              <w:t>Nazwa przedmiotu</w:t>
            </w:r>
          </w:p>
        </w:tc>
        <w:tc>
          <w:tcPr>
            <w:tcW w:w="4606" w:type="dxa"/>
          </w:tcPr>
          <w:p w:rsidR="00183583" w:rsidRDefault="00CD28B8" w:rsidP="00F45F6F">
            <w:r>
              <w:t>HISTORIA FILOZOFII</w:t>
            </w:r>
            <w:r w:rsidR="00D30AD4">
              <w:t xml:space="preserve"> </w:t>
            </w:r>
          </w:p>
        </w:tc>
      </w:tr>
      <w:tr w:rsidR="00183583" w:rsidRPr="00CE74A7" w:rsidTr="00F45F6F">
        <w:tc>
          <w:tcPr>
            <w:tcW w:w="4606" w:type="dxa"/>
          </w:tcPr>
          <w:p w:rsidR="00183583" w:rsidRDefault="00183583" w:rsidP="00F45F6F">
            <w:r>
              <w:t>Nazwa przedmiotu w języku angielskim</w:t>
            </w:r>
          </w:p>
        </w:tc>
        <w:tc>
          <w:tcPr>
            <w:tcW w:w="4606" w:type="dxa"/>
          </w:tcPr>
          <w:p w:rsidR="00183583" w:rsidRPr="00A27C27" w:rsidRDefault="00CD28B8" w:rsidP="00F45F6F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CD28B8">
              <w:rPr>
                <w:lang w:val="en-US"/>
              </w:rPr>
              <w:t>ISTORY OF PHILOSOPHY</w:t>
            </w:r>
          </w:p>
        </w:tc>
      </w:tr>
      <w:tr w:rsidR="00183583" w:rsidTr="00F45F6F">
        <w:tc>
          <w:tcPr>
            <w:tcW w:w="4606" w:type="dxa"/>
          </w:tcPr>
          <w:p w:rsidR="00183583" w:rsidRDefault="00183583" w:rsidP="00F45F6F">
            <w:r>
              <w:t xml:space="preserve">Kierunek studiów </w:t>
            </w:r>
          </w:p>
        </w:tc>
        <w:tc>
          <w:tcPr>
            <w:tcW w:w="4606" w:type="dxa"/>
          </w:tcPr>
          <w:p w:rsidR="00183583" w:rsidRDefault="000F3321" w:rsidP="00F45F6F">
            <w:r>
              <w:t>Nauki Humanistyczne i Prawo Kanoniczne</w:t>
            </w:r>
          </w:p>
        </w:tc>
      </w:tr>
      <w:tr w:rsidR="00183583" w:rsidTr="00F45F6F">
        <w:tc>
          <w:tcPr>
            <w:tcW w:w="4606" w:type="dxa"/>
          </w:tcPr>
          <w:p w:rsidR="00183583" w:rsidRDefault="00183583" w:rsidP="00F45F6F">
            <w:r>
              <w:t>Poziom studiów (I, II, jednolite magisterskie)</w:t>
            </w:r>
          </w:p>
        </w:tc>
        <w:tc>
          <w:tcPr>
            <w:tcW w:w="4606" w:type="dxa"/>
          </w:tcPr>
          <w:p w:rsidR="00183583" w:rsidRDefault="000F3321" w:rsidP="00F276F1">
            <w:r>
              <w:t>I</w:t>
            </w:r>
            <w:r w:rsidR="00DD759F">
              <w:t xml:space="preserve"> </w:t>
            </w:r>
            <w:r w:rsidR="00F276F1">
              <w:t>i</w:t>
            </w:r>
            <w:r w:rsidR="00DD759F">
              <w:t xml:space="preserve"> jednolite magisterskie</w:t>
            </w:r>
          </w:p>
        </w:tc>
      </w:tr>
      <w:tr w:rsidR="00183583" w:rsidTr="00F45F6F">
        <w:tc>
          <w:tcPr>
            <w:tcW w:w="4606" w:type="dxa"/>
          </w:tcPr>
          <w:p w:rsidR="00183583" w:rsidRDefault="00183583" w:rsidP="00F45F6F">
            <w:r>
              <w:t>Forma studiów (stacjonarne, niestacjonarne)</w:t>
            </w:r>
          </w:p>
        </w:tc>
        <w:tc>
          <w:tcPr>
            <w:tcW w:w="4606" w:type="dxa"/>
          </w:tcPr>
          <w:p w:rsidR="00183583" w:rsidRDefault="00183583" w:rsidP="00F45F6F">
            <w:r>
              <w:t>Stacjonarne</w:t>
            </w:r>
          </w:p>
        </w:tc>
      </w:tr>
      <w:tr w:rsidR="00183583" w:rsidTr="00F45F6F">
        <w:tc>
          <w:tcPr>
            <w:tcW w:w="4606" w:type="dxa"/>
          </w:tcPr>
          <w:p w:rsidR="00183583" w:rsidRDefault="00183583" w:rsidP="00F45F6F">
            <w:r>
              <w:t>Dyscyplina</w:t>
            </w:r>
          </w:p>
        </w:tc>
        <w:tc>
          <w:tcPr>
            <w:tcW w:w="4606" w:type="dxa"/>
          </w:tcPr>
          <w:p w:rsidR="00183583" w:rsidRDefault="00CD28B8" w:rsidP="00F45F6F">
            <w:r>
              <w:t>Filozofia</w:t>
            </w:r>
            <w:r w:rsidR="00183583">
              <w:t xml:space="preserve"> </w:t>
            </w:r>
          </w:p>
        </w:tc>
      </w:tr>
      <w:tr w:rsidR="00183583" w:rsidTr="00F45F6F">
        <w:tc>
          <w:tcPr>
            <w:tcW w:w="4606" w:type="dxa"/>
          </w:tcPr>
          <w:p w:rsidR="00183583" w:rsidRDefault="00183583" w:rsidP="00F45F6F">
            <w:r>
              <w:t>Język wykładowy</w:t>
            </w:r>
          </w:p>
        </w:tc>
        <w:tc>
          <w:tcPr>
            <w:tcW w:w="4606" w:type="dxa"/>
          </w:tcPr>
          <w:p w:rsidR="00183583" w:rsidRDefault="00183583" w:rsidP="00F45F6F">
            <w:r>
              <w:t xml:space="preserve">Polski </w:t>
            </w:r>
          </w:p>
        </w:tc>
      </w:tr>
    </w:tbl>
    <w:p w:rsidR="00183583" w:rsidRDefault="00183583" w:rsidP="0018358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83583" w:rsidTr="00F45F6F">
        <w:tc>
          <w:tcPr>
            <w:tcW w:w="4606" w:type="dxa"/>
          </w:tcPr>
          <w:p w:rsidR="00183583" w:rsidRDefault="00183583" w:rsidP="00F45F6F">
            <w:r>
              <w:t>Koordynator przedmiotu/osoba odpowiedzialna</w:t>
            </w:r>
          </w:p>
        </w:tc>
        <w:tc>
          <w:tcPr>
            <w:tcW w:w="4606" w:type="dxa"/>
          </w:tcPr>
          <w:p w:rsidR="00183583" w:rsidRDefault="00D24D40" w:rsidP="00F45F6F">
            <w:r>
              <w:t>Ks. dr hab. Rafał Charzyński</w:t>
            </w:r>
          </w:p>
          <w:p w:rsidR="00183583" w:rsidRDefault="00183583" w:rsidP="00F45F6F"/>
        </w:tc>
      </w:tr>
    </w:tbl>
    <w:p w:rsidR="00183583" w:rsidRDefault="00183583" w:rsidP="0018358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83583" w:rsidTr="00F276F1">
        <w:tc>
          <w:tcPr>
            <w:tcW w:w="2285" w:type="dxa"/>
          </w:tcPr>
          <w:p w:rsidR="00183583" w:rsidRDefault="00183583" w:rsidP="00F45F6F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183583" w:rsidRDefault="00183583" w:rsidP="00F45F6F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183583" w:rsidRDefault="00183583" w:rsidP="00F45F6F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:rsidR="00183583" w:rsidRDefault="00183583" w:rsidP="00F45F6F">
            <w:pPr>
              <w:jc w:val="center"/>
            </w:pPr>
            <w:r>
              <w:t>Punkty ECTS</w:t>
            </w:r>
          </w:p>
        </w:tc>
      </w:tr>
      <w:tr w:rsidR="00183583" w:rsidTr="00F276F1">
        <w:tc>
          <w:tcPr>
            <w:tcW w:w="2285" w:type="dxa"/>
          </w:tcPr>
          <w:p w:rsidR="00183583" w:rsidRDefault="00183583" w:rsidP="00F45F6F">
            <w:r>
              <w:t>wykład</w:t>
            </w:r>
          </w:p>
        </w:tc>
        <w:tc>
          <w:tcPr>
            <w:tcW w:w="2258" w:type="dxa"/>
          </w:tcPr>
          <w:p w:rsidR="00183583" w:rsidRDefault="000F3321" w:rsidP="00743417">
            <w:pPr>
              <w:jc w:val="center"/>
            </w:pPr>
            <w:r>
              <w:t>45</w:t>
            </w:r>
            <w:bookmarkStart w:id="0" w:name="_GoBack"/>
            <w:bookmarkEnd w:id="0"/>
          </w:p>
        </w:tc>
        <w:tc>
          <w:tcPr>
            <w:tcW w:w="2261" w:type="dxa"/>
          </w:tcPr>
          <w:p w:rsidR="00183583" w:rsidRDefault="00183583" w:rsidP="00743417">
            <w:pPr>
              <w:jc w:val="center"/>
            </w:pPr>
          </w:p>
        </w:tc>
        <w:tc>
          <w:tcPr>
            <w:tcW w:w="2258" w:type="dxa"/>
          </w:tcPr>
          <w:p w:rsidR="00183583" w:rsidRDefault="00DD759F" w:rsidP="00743417">
            <w:pPr>
              <w:jc w:val="center"/>
            </w:pPr>
            <w:r>
              <w:t>3</w:t>
            </w:r>
          </w:p>
        </w:tc>
      </w:tr>
    </w:tbl>
    <w:p w:rsidR="00183583" w:rsidRDefault="00183583" w:rsidP="0018358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183583" w:rsidTr="00F45F6F">
        <w:tc>
          <w:tcPr>
            <w:tcW w:w="2235" w:type="dxa"/>
          </w:tcPr>
          <w:p w:rsidR="00183583" w:rsidRDefault="00183583" w:rsidP="00F45F6F">
            <w:r>
              <w:t>Wymagania wstępne</w:t>
            </w:r>
          </w:p>
        </w:tc>
        <w:tc>
          <w:tcPr>
            <w:tcW w:w="6977" w:type="dxa"/>
          </w:tcPr>
          <w:p w:rsidR="00183583" w:rsidRDefault="00174D73" w:rsidP="00F45F6F">
            <w:r>
              <w:t>Ogólna kultura humanistyczna z zakresu szkoły średniej</w:t>
            </w:r>
          </w:p>
        </w:tc>
      </w:tr>
    </w:tbl>
    <w:p w:rsidR="00183583" w:rsidRDefault="00183583" w:rsidP="00183583">
      <w:pPr>
        <w:spacing w:after="0"/>
      </w:pPr>
    </w:p>
    <w:p w:rsidR="00183583" w:rsidRDefault="00183583" w:rsidP="00183583">
      <w:pPr>
        <w:spacing w:after="0"/>
      </w:pPr>
    </w:p>
    <w:p w:rsidR="00183583" w:rsidRPr="00556FCA" w:rsidRDefault="00183583" w:rsidP="00183583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583" w:rsidTr="00914F3D">
        <w:tc>
          <w:tcPr>
            <w:tcW w:w="9062" w:type="dxa"/>
          </w:tcPr>
          <w:p w:rsidR="00183583" w:rsidRDefault="00952D00" w:rsidP="00F45F6F">
            <w:r>
              <w:t xml:space="preserve">C1 </w:t>
            </w:r>
            <w:r w:rsidR="0029792A">
              <w:t>–</w:t>
            </w:r>
            <w:r>
              <w:t xml:space="preserve"> </w:t>
            </w:r>
            <w:r w:rsidR="0029792A">
              <w:t>Przedstawienie dziejów filozofii europejskiej jako samoistnej formy poznania oraz jej relacji do innych nauk i dziedzin kultury</w:t>
            </w:r>
          </w:p>
        </w:tc>
      </w:tr>
      <w:tr w:rsidR="00183583" w:rsidTr="00914F3D">
        <w:tc>
          <w:tcPr>
            <w:tcW w:w="9062" w:type="dxa"/>
          </w:tcPr>
          <w:p w:rsidR="00183583" w:rsidRDefault="00952D00" w:rsidP="00F45F6F">
            <w:r>
              <w:t xml:space="preserve">C2 - </w:t>
            </w:r>
            <w:r w:rsidR="002B4382">
              <w:t xml:space="preserve"> </w:t>
            </w:r>
            <w:r w:rsidR="0029792A">
              <w:t>Ukazanie społecznych</w:t>
            </w:r>
            <w:r w:rsidR="00F65CD9">
              <w:t xml:space="preserve"> i światopoglądowych odniesień filozofii </w:t>
            </w:r>
            <w:r w:rsidR="00914F3D">
              <w:t>jako jednego z najistotniejszych składników kultury narodowej, europejskiej, chrześcijańskiej</w:t>
            </w:r>
          </w:p>
        </w:tc>
      </w:tr>
      <w:tr w:rsidR="002B4382" w:rsidTr="00914F3D">
        <w:tc>
          <w:tcPr>
            <w:tcW w:w="9062" w:type="dxa"/>
          </w:tcPr>
          <w:p w:rsidR="002B4382" w:rsidRDefault="00952D00" w:rsidP="00F45F6F">
            <w:r>
              <w:t xml:space="preserve">C3 - </w:t>
            </w:r>
            <w:r w:rsidR="002B4382">
              <w:t xml:space="preserve"> </w:t>
            </w:r>
            <w:r w:rsidR="00914F3D">
              <w:t>Kształtowanie dociekliwości intelektualnej i świadomości obowiązku poszukiwania prawdy oraz postawy szacunku wobec odmiennych postaw intelektualnych</w:t>
            </w:r>
          </w:p>
        </w:tc>
      </w:tr>
      <w:tr w:rsidR="002B4382" w:rsidTr="00914F3D">
        <w:tc>
          <w:tcPr>
            <w:tcW w:w="9062" w:type="dxa"/>
          </w:tcPr>
          <w:p w:rsidR="002B4382" w:rsidRDefault="00952D00" w:rsidP="00F45F6F">
            <w:r>
              <w:t xml:space="preserve">C4 </w:t>
            </w:r>
            <w:r w:rsidR="00914F3D">
              <w:t>–</w:t>
            </w:r>
            <w:r>
              <w:t xml:space="preserve"> </w:t>
            </w:r>
            <w:r w:rsidR="00914F3D">
              <w:t>Zapoznanie studentów z klasycznymi tekstami filozoficznymi</w:t>
            </w:r>
          </w:p>
        </w:tc>
      </w:tr>
    </w:tbl>
    <w:p w:rsidR="00183583" w:rsidRDefault="00183583" w:rsidP="00914F3D"/>
    <w:p w:rsidR="00183583" w:rsidRPr="00556FCA" w:rsidRDefault="00183583" w:rsidP="00183583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183583" w:rsidTr="008E1501">
        <w:tc>
          <w:tcPr>
            <w:tcW w:w="1094" w:type="dxa"/>
            <w:vAlign w:val="center"/>
          </w:tcPr>
          <w:p w:rsidR="00183583" w:rsidRDefault="00183583" w:rsidP="00F45F6F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:rsidR="00183583" w:rsidRDefault="00183583" w:rsidP="00F276F1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183583" w:rsidRDefault="00183583" w:rsidP="00F276F1">
            <w:pPr>
              <w:jc w:val="center"/>
            </w:pPr>
            <w:r w:rsidRPr="00590987">
              <w:t>Odniesienie do efektu kierunkowego</w:t>
            </w:r>
          </w:p>
        </w:tc>
      </w:tr>
      <w:tr w:rsidR="00183583" w:rsidTr="008E1501">
        <w:tc>
          <w:tcPr>
            <w:tcW w:w="9062" w:type="dxa"/>
            <w:gridSpan w:val="3"/>
          </w:tcPr>
          <w:p w:rsidR="00183583" w:rsidRDefault="00183583" w:rsidP="00F45F6F">
            <w:pPr>
              <w:jc w:val="center"/>
            </w:pPr>
            <w:r>
              <w:t>WIEDZA</w:t>
            </w:r>
            <w:r w:rsidR="00467A51">
              <w:t>: absolwent zna i rozumie</w:t>
            </w:r>
          </w:p>
        </w:tc>
      </w:tr>
      <w:tr w:rsidR="00183583" w:rsidTr="008E1501">
        <w:trPr>
          <w:trHeight w:val="618"/>
        </w:trPr>
        <w:tc>
          <w:tcPr>
            <w:tcW w:w="1094" w:type="dxa"/>
          </w:tcPr>
          <w:p w:rsidR="00183583" w:rsidRDefault="00546627" w:rsidP="00F45F6F">
            <w:r>
              <w:t>W_01</w:t>
            </w:r>
          </w:p>
        </w:tc>
        <w:tc>
          <w:tcPr>
            <w:tcW w:w="5830" w:type="dxa"/>
          </w:tcPr>
          <w:p w:rsidR="00183583" w:rsidRPr="006E5344" w:rsidRDefault="00467A51" w:rsidP="001C11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 podstawową wiedzę o specyfice przedmiotowej i metodologicznej filozofii, którą jest w stanie rozwijać i stosować w działalności profesjonalnej</w:t>
            </w:r>
          </w:p>
        </w:tc>
        <w:tc>
          <w:tcPr>
            <w:tcW w:w="2138" w:type="dxa"/>
          </w:tcPr>
          <w:p w:rsidR="00D948B1" w:rsidRDefault="00546627" w:rsidP="002B4382">
            <w:r>
              <w:t>T_W02</w:t>
            </w:r>
          </w:p>
          <w:p w:rsidR="00183583" w:rsidRDefault="00183583" w:rsidP="002B4382"/>
          <w:p w:rsidR="00546627" w:rsidRDefault="00546627" w:rsidP="002B4382"/>
        </w:tc>
      </w:tr>
      <w:tr w:rsidR="00183583" w:rsidTr="008E1501">
        <w:tc>
          <w:tcPr>
            <w:tcW w:w="1094" w:type="dxa"/>
          </w:tcPr>
          <w:p w:rsidR="00150547" w:rsidRDefault="00150547" w:rsidP="00F45F6F"/>
          <w:p w:rsidR="0049623C" w:rsidRDefault="00546627" w:rsidP="00F45F6F">
            <w:r>
              <w:t>W_02</w:t>
            </w:r>
          </w:p>
        </w:tc>
        <w:tc>
          <w:tcPr>
            <w:tcW w:w="5830" w:type="dxa"/>
          </w:tcPr>
          <w:p w:rsidR="00183583" w:rsidRDefault="00546627" w:rsidP="00F45F6F">
            <w:r>
              <w:t xml:space="preserve">Ma pogłębioną wiedzę o powiązaniach teologii z innymi dziedzinami nauki, a zwłaszcza z naukami humanistycznymi, </w:t>
            </w:r>
            <w:r>
              <w:lastRenderedPageBreak/>
              <w:t>pozwalającą na zintegrowanie perspektyw właściwych dla kilku dyscyplin naukowych</w:t>
            </w:r>
          </w:p>
        </w:tc>
        <w:tc>
          <w:tcPr>
            <w:tcW w:w="2138" w:type="dxa"/>
          </w:tcPr>
          <w:p w:rsidR="00546627" w:rsidRDefault="00546627" w:rsidP="00F45F6F"/>
          <w:p w:rsidR="00D948B1" w:rsidRDefault="00546627" w:rsidP="00F45F6F">
            <w:r>
              <w:t>T_W05</w:t>
            </w:r>
          </w:p>
        </w:tc>
      </w:tr>
      <w:tr w:rsidR="00183583" w:rsidTr="008E1501">
        <w:tc>
          <w:tcPr>
            <w:tcW w:w="9062" w:type="dxa"/>
            <w:gridSpan w:val="3"/>
          </w:tcPr>
          <w:p w:rsidR="00183583" w:rsidRDefault="00183583" w:rsidP="00F45F6F">
            <w:pPr>
              <w:jc w:val="center"/>
            </w:pPr>
            <w:r>
              <w:lastRenderedPageBreak/>
              <w:t>UMIEJĘTNOŚCI</w:t>
            </w:r>
            <w:r w:rsidR="00D948B1">
              <w:t>: student potrafi</w:t>
            </w:r>
          </w:p>
        </w:tc>
      </w:tr>
      <w:tr w:rsidR="00183583" w:rsidTr="008E1501">
        <w:tc>
          <w:tcPr>
            <w:tcW w:w="1094" w:type="dxa"/>
          </w:tcPr>
          <w:p w:rsidR="00150547" w:rsidRDefault="0049623C" w:rsidP="00F45F6F">
            <w:r>
              <w:t>U</w:t>
            </w:r>
            <w:r w:rsidR="0028204E">
              <w:t>_</w:t>
            </w:r>
            <w:r w:rsidR="00183583">
              <w:t>0</w:t>
            </w:r>
            <w:r w:rsidR="0028204E">
              <w:t>1</w:t>
            </w:r>
          </w:p>
        </w:tc>
        <w:tc>
          <w:tcPr>
            <w:tcW w:w="5830" w:type="dxa"/>
          </w:tcPr>
          <w:p w:rsidR="00183583" w:rsidRPr="006E5344" w:rsidRDefault="0049623C" w:rsidP="001C11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 prowadzić dialog światopoglądowy</w:t>
            </w:r>
          </w:p>
        </w:tc>
        <w:tc>
          <w:tcPr>
            <w:tcW w:w="2138" w:type="dxa"/>
          </w:tcPr>
          <w:p w:rsidR="0049623C" w:rsidRDefault="0028204E" w:rsidP="00F45F6F">
            <w:r>
              <w:t>T_U03</w:t>
            </w:r>
          </w:p>
        </w:tc>
      </w:tr>
      <w:tr w:rsidR="00183583" w:rsidTr="008E1501">
        <w:tc>
          <w:tcPr>
            <w:tcW w:w="1094" w:type="dxa"/>
          </w:tcPr>
          <w:p w:rsidR="00183583" w:rsidRDefault="0028204E" w:rsidP="00F45F6F">
            <w:r>
              <w:t>U_02</w:t>
            </w:r>
          </w:p>
        </w:tc>
        <w:tc>
          <w:tcPr>
            <w:tcW w:w="5830" w:type="dxa"/>
          </w:tcPr>
          <w:p w:rsidR="00183583" w:rsidRPr="006E5344" w:rsidRDefault="0049623C" w:rsidP="00F45F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 umiejętność merytorycznego argumentowania, prowadzenia merytorycznej dyskusji światopoglądowej dotyczącej zagadnień teologicznych i życia Kościoła, z wykorzystaniem własnych poglądów oraz poglądów innych</w:t>
            </w:r>
            <w:r w:rsidR="00E71A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autorów, formułowania wniosków oraz tworzenia syntetycznych podsumowań</w:t>
            </w:r>
          </w:p>
        </w:tc>
        <w:tc>
          <w:tcPr>
            <w:tcW w:w="2138" w:type="dxa"/>
          </w:tcPr>
          <w:p w:rsidR="0049623C" w:rsidRDefault="0028204E" w:rsidP="00F45F6F">
            <w:r>
              <w:t>T_</w:t>
            </w:r>
            <w:r w:rsidR="000A6F77">
              <w:t>U</w:t>
            </w:r>
            <w:r>
              <w:t>06</w:t>
            </w:r>
          </w:p>
        </w:tc>
      </w:tr>
      <w:tr w:rsidR="00183583" w:rsidTr="008E1501">
        <w:tc>
          <w:tcPr>
            <w:tcW w:w="9062" w:type="dxa"/>
            <w:gridSpan w:val="3"/>
          </w:tcPr>
          <w:p w:rsidR="00183583" w:rsidRDefault="00183583" w:rsidP="00F45F6F">
            <w:pPr>
              <w:jc w:val="center"/>
            </w:pPr>
            <w:r>
              <w:t>KOMPETENCJE SPOŁECZNE</w:t>
            </w:r>
            <w:r w:rsidR="0049623C">
              <w:t>: absolwent jest gotów</w:t>
            </w:r>
          </w:p>
        </w:tc>
      </w:tr>
      <w:tr w:rsidR="00183583" w:rsidTr="008E1501">
        <w:tc>
          <w:tcPr>
            <w:tcW w:w="1094" w:type="dxa"/>
          </w:tcPr>
          <w:p w:rsidR="00183583" w:rsidRDefault="000A6F77" w:rsidP="00F45F6F">
            <w:r>
              <w:t>K_01</w:t>
            </w:r>
          </w:p>
        </w:tc>
        <w:tc>
          <w:tcPr>
            <w:tcW w:w="5830" w:type="dxa"/>
          </w:tcPr>
          <w:p w:rsidR="00183583" w:rsidRPr="00A4094C" w:rsidRDefault="008E1501" w:rsidP="00E71A2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Uznaje złożoność rzeczywistości i potrzebę interdyscyplinarnego podejścia do rozwiązywania problemów</w:t>
            </w:r>
          </w:p>
        </w:tc>
        <w:tc>
          <w:tcPr>
            <w:tcW w:w="2138" w:type="dxa"/>
          </w:tcPr>
          <w:p w:rsidR="00C068BB" w:rsidRDefault="008E1501" w:rsidP="002B4382">
            <w:r>
              <w:t>T_K02</w:t>
            </w:r>
          </w:p>
        </w:tc>
      </w:tr>
      <w:tr w:rsidR="008E1501" w:rsidTr="008E1501">
        <w:tc>
          <w:tcPr>
            <w:tcW w:w="1094" w:type="dxa"/>
          </w:tcPr>
          <w:p w:rsidR="008E1501" w:rsidRDefault="008E1501" w:rsidP="008E1501">
            <w:r>
              <w:t>K_02</w:t>
            </w:r>
          </w:p>
        </w:tc>
        <w:tc>
          <w:tcPr>
            <w:tcW w:w="5830" w:type="dxa"/>
          </w:tcPr>
          <w:p w:rsidR="008E1501" w:rsidRPr="00A4094C" w:rsidRDefault="008E1501" w:rsidP="008E150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Identyfikuje i rozstrzyga dylematy moralne - zwłaszcza doktrynalne i etyczno – moralne związane z życiem społecznym</w:t>
            </w:r>
          </w:p>
        </w:tc>
        <w:tc>
          <w:tcPr>
            <w:tcW w:w="2138" w:type="dxa"/>
          </w:tcPr>
          <w:p w:rsidR="008E1501" w:rsidRDefault="008E1501" w:rsidP="008E1501">
            <w:r>
              <w:t>T_K03</w:t>
            </w:r>
          </w:p>
        </w:tc>
      </w:tr>
    </w:tbl>
    <w:p w:rsidR="00183583" w:rsidRDefault="00183583" w:rsidP="00183583">
      <w:pPr>
        <w:pStyle w:val="Akapitzlist"/>
        <w:ind w:left="1080"/>
        <w:rPr>
          <w:b/>
        </w:rPr>
      </w:pPr>
    </w:p>
    <w:p w:rsidR="00183583" w:rsidRPr="00583DB9" w:rsidRDefault="00183583" w:rsidP="00183583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583" w:rsidTr="00F45F6F">
        <w:tc>
          <w:tcPr>
            <w:tcW w:w="9212" w:type="dxa"/>
          </w:tcPr>
          <w:p w:rsidR="00183583" w:rsidRPr="00C068BB" w:rsidRDefault="00C068BB" w:rsidP="00F45F6F">
            <w:r w:rsidRPr="00C068BB">
              <w:t xml:space="preserve">Wykład ma zapoznać studentów </w:t>
            </w:r>
            <w:r>
              <w:t xml:space="preserve">z podstawowymi zagadnieniami filozofii; przedstawiona zostaje </w:t>
            </w:r>
            <w:r w:rsidR="00390ADA">
              <w:t xml:space="preserve">europejska filozofia od </w:t>
            </w:r>
            <w:r w:rsidR="00DD759F">
              <w:t>jej genezy w starożytnej Grecji po czasy współczesne</w:t>
            </w:r>
            <w:r>
              <w:t xml:space="preserve">, jej specyficzny charakter na tle innych dziedzin kultury. W kolejności chronologicznej prezentowane są sylwetki filozofów oraz szkół wraz z ich dorobkiem. Całość umieszczona jest </w:t>
            </w:r>
            <w:r w:rsidR="00AD4391">
              <w:t>w historycznym kontekście dziejów aby ukazać wzajemną zależność między wydarzeniami a uprawianiem filozofii. Historia filozofii jest między innymi okazją do pokazania problematyki relacji między wiarą a rozumem, jej genezy, podejmowanych prób rozwiązań oraz konsekwencji. Intelektualny wysiłek zgłębiania wewnętrznej logiki różnych poglądów filozoficznych ma także na celu wykształcenie szacunku wobec osób zajmujących odmienne postawy światopoglądowe.</w:t>
            </w:r>
            <w:r w:rsidR="008E1501">
              <w:t xml:space="preserve"> Wykład ma także za zadanie wprowadzić słuchaczy w rozumienie terminologii oraz pokazać uniwersalny charakter pewnych problemów, potwierdzony przez powracanie niektórych zagadnień w ciągu dziejów.</w:t>
            </w:r>
          </w:p>
        </w:tc>
      </w:tr>
    </w:tbl>
    <w:p w:rsidR="00183583" w:rsidRPr="00FC6CE1" w:rsidRDefault="00183583" w:rsidP="00183583">
      <w:pPr>
        <w:rPr>
          <w:b/>
        </w:rPr>
      </w:pPr>
    </w:p>
    <w:p w:rsidR="00183583" w:rsidRDefault="00183583" w:rsidP="001835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3"/>
        <w:gridCol w:w="2778"/>
        <w:gridCol w:w="2538"/>
      </w:tblGrid>
      <w:tr w:rsidR="00183583" w:rsidTr="00F45F6F">
        <w:tc>
          <w:tcPr>
            <w:tcW w:w="1101" w:type="dxa"/>
            <w:vAlign w:val="center"/>
          </w:tcPr>
          <w:p w:rsidR="00183583" w:rsidRDefault="00183583" w:rsidP="00F45F6F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183583" w:rsidRPr="00125A6B" w:rsidRDefault="00183583" w:rsidP="00F45F6F">
            <w:pPr>
              <w:jc w:val="center"/>
            </w:pPr>
            <w:r w:rsidRPr="00125A6B">
              <w:t>Metody dydaktyczne</w:t>
            </w:r>
          </w:p>
          <w:p w:rsidR="00183583" w:rsidRPr="00D17DEB" w:rsidRDefault="00183583" w:rsidP="00F45F6F">
            <w:pPr>
              <w:jc w:val="center"/>
              <w:rPr>
                <w:highlight w:val="yellow"/>
              </w:rPr>
            </w:pPr>
            <w:r w:rsidRPr="00125A6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183583" w:rsidRPr="00125A6B" w:rsidRDefault="00183583" w:rsidP="00F45F6F">
            <w:pPr>
              <w:jc w:val="center"/>
            </w:pPr>
            <w:r w:rsidRPr="00125A6B">
              <w:t>Metody weryfikacji</w:t>
            </w:r>
          </w:p>
          <w:p w:rsidR="00183583" w:rsidRPr="00D17DEB" w:rsidRDefault="00183583" w:rsidP="00F45F6F">
            <w:pPr>
              <w:jc w:val="center"/>
              <w:rPr>
                <w:highlight w:val="yellow"/>
              </w:rPr>
            </w:pPr>
            <w:r w:rsidRPr="00125A6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183583" w:rsidRPr="00125A6B" w:rsidRDefault="00183583" w:rsidP="00F45F6F">
            <w:pPr>
              <w:jc w:val="center"/>
            </w:pPr>
            <w:r w:rsidRPr="00125A6B">
              <w:t>Sposoby dokumentacji</w:t>
            </w:r>
          </w:p>
          <w:p w:rsidR="00183583" w:rsidRPr="00D17DEB" w:rsidRDefault="00183583" w:rsidP="00F45F6F">
            <w:pPr>
              <w:jc w:val="center"/>
              <w:rPr>
                <w:highlight w:val="yellow"/>
              </w:rPr>
            </w:pPr>
            <w:r w:rsidRPr="00125A6B">
              <w:rPr>
                <w:i/>
                <w:sz w:val="18"/>
                <w:szCs w:val="18"/>
              </w:rPr>
              <w:t>(lista wyboru)</w:t>
            </w:r>
          </w:p>
        </w:tc>
      </w:tr>
      <w:tr w:rsidR="00183583" w:rsidTr="00F45F6F">
        <w:tc>
          <w:tcPr>
            <w:tcW w:w="9212" w:type="dxa"/>
            <w:gridSpan w:val="4"/>
            <w:vAlign w:val="center"/>
          </w:tcPr>
          <w:p w:rsidR="00183583" w:rsidRDefault="00183583" w:rsidP="00F45F6F">
            <w:pPr>
              <w:jc w:val="center"/>
            </w:pPr>
            <w:r>
              <w:t>WIEDZA</w:t>
            </w:r>
          </w:p>
        </w:tc>
      </w:tr>
      <w:tr w:rsidR="00183583" w:rsidTr="00F45F6F">
        <w:tc>
          <w:tcPr>
            <w:tcW w:w="1101" w:type="dxa"/>
          </w:tcPr>
          <w:p w:rsidR="00215D79" w:rsidRDefault="00183583" w:rsidP="00F45F6F">
            <w:r>
              <w:t>W_01</w:t>
            </w:r>
          </w:p>
        </w:tc>
        <w:tc>
          <w:tcPr>
            <w:tcW w:w="2693" w:type="dxa"/>
          </w:tcPr>
          <w:p w:rsidR="00183583" w:rsidRDefault="00D21FF7" w:rsidP="00F45F6F">
            <w:r>
              <w:t>Wykład konwe</w:t>
            </w:r>
            <w:r w:rsidR="00EF57B3">
              <w:t>ncjonalny</w:t>
            </w:r>
          </w:p>
        </w:tc>
        <w:tc>
          <w:tcPr>
            <w:tcW w:w="2835" w:type="dxa"/>
          </w:tcPr>
          <w:p w:rsidR="00183583" w:rsidRDefault="00CE74A7" w:rsidP="00F45F6F">
            <w:r>
              <w:t>Egzamin ustny</w:t>
            </w:r>
          </w:p>
        </w:tc>
        <w:tc>
          <w:tcPr>
            <w:tcW w:w="2583" w:type="dxa"/>
          </w:tcPr>
          <w:p w:rsidR="00183583" w:rsidRDefault="00EF57B3" w:rsidP="00F45F6F">
            <w:r>
              <w:t>protokół</w:t>
            </w:r>
          </w:p>
        </w:tc>
      </w:tr>
      <w:tr w:rsidR="0009657E" w:rsidTr="00F45F6F">
        <w:tc>
          <w:tcPr>
            <w:tcW w:w="1101" w:type="dxa"/>
          </w:tcPr>
          <w:p w:rsidR="0009657E" w:rsidRDefault="0009657E" w:rsidP="00F45F6F">
            <w:r>
              <w:t>W_02</w:t>
            </w:r>
          </w:p>
        </w:tc>
        <w:tc>
          <w:tcPr>
            <w:tcW w:w="2693" w:type="dxa"/>
          </w:tcPr>
          <w:p w:rsidR="0009657E" w:rsidRDefault="00EF57B3" w:rsidP="00F45F6F">
            <w:r>
              <w:t>Wykład problemowy</w:t>
            </w:r>
          </w:p>
        </w:tc>
        <w:tc>
          <w:tcPr>
            <w:tcW w:w="2835" w:type="dxa"/>
          </w:tcPr>
          <w:p w:rsidR="0009657E" w:rsidRDefault="00CE74A7" w:rsidP="00F45F6F">
            <w:r>
              <w:t>Wypowiedź ustna</w:t>
            </w:r>
          </w:p>
        </w:tc>
        <w:tc>
          <w:tcPr>
            <w:tcW w:w="2583" w:type="dxa"/>
          </w:tcPr>
          <w:p w:rsidR="0009657E" w:rsidRDefault="0009657E" w:rsidP="00F45F6F"/>
        </w:tc>
      </w:tr>
      <w:tr w:rsidR="00183583" w:rsidTr="00F45F6F">
        <w:tc>
          <w:tcPr>
            <w:tcW w:w="9212" w:type="dxa"/>
            <w:gridSpan w:val="4"/>
            <w:vAlign w:val="center"/>
          </w:tcPr>
          <w:p w:rsidR="00183583" w:rsidRDefault="00183583" w:rsidP="00F45F6F">
            <w:pPr>
              <w:jc w:val="center"/>
            </w:pPr>
            <w:r>
              <w:t>UMIEJĘTNOŚCI</w:t>
            </w:r>
          </w:p>
        </w:tc>
      </w:tr>
      <w:tr w:rsidR="00183583" w:rsidTr="00F45F6F">
        <w:tc>
          <w:tcPr>
            <w:tcW w:w="1101" w:type="dxa"/>
          </w:tcPr>
          <w:p w:rsidR="00183583" w:rsidRDefault="00183583" w:rsidP="00F45F6F">
            <w:r>
              <w:t>U_01</w:t>
            </w:r>
          </w:p>
        </w:tc>
        <w:tc>
          <w:tcPr>
            <w:tcW w:w="2693" w:type="dxa"/>
          </w:tcPr>
          <w:p w:rsidR="00183583" w:rsidRPr="00162921" w:rsidRDefault="00EF57B3" w:rsidP="00F45F6F">
            <w:r>
              <w:t>Analiza tekstu</w:t>
            </w:r>
          </w:p>
        </w:tc>
        <w:tc>
          <w:tcPr>
            <w:tcW w:w="2835" w:type="dxa"/>
          </w:tcPr>
          <w:p w:rsidR="00183583" w:rsidRDefault="00EF57B3" w:rsidP="00215D79">
            <w:r>
              <w:t>Sprawdzanie umiejętności praktycznych</w:t>
            </w:r>
          </w:p>
        </w:tc>
        <w:tc>
          <w:tcPr>
            <w:tcW w:w="2583" w:type="dxa"/>
          </w:tcPr>
          <w:p w:rsidR="00183583" w:rsidRDefault="00183583" w:rsidP="00215D79"/>
        </w:tc>
      </w:tr>
      <w:tr w:rsidR="00183583" w:rsidTr="00F45F6F">
        <w:tc>
          <w:tcPr>
            <w:tcW w:w="1101" w:type="dxa"/>
          </w:tcPr>
          <w:p w:rsidR="00183583" w:rsidRDefault="00215D79" w:rsidP="00F45F6F">
            <w:r>
              <w:t>U_02</w:t>
            </w:r>
          </w:p>
        </w:tc>
        <w:tc>
          <w:tcPr>
            <w:tcW w:w="2693" w:type="dxa"/>
          </w:tcPr>
          <w:p w:rsidR="00183583" w:rsidRDefault="00215D79" w:rsidP="00F45F6F">
            <w:r>
              <w:t>Dyskusja</w:t>
            </w:r>
          </w:p>
        </w:tc>
        <w:tc>
          <w:tcPr>
            <w:tcW w:w="2835" w:type="dxa"/>
          </w:tcPr>
          <w:p w:rsidR="00183583" w:rsidRDefault="00215D79" w:rsidP="00F45F6F">
            <w:r>
              <w:t>Obserwacja</w:t>
            </w:r>
          </w:p>
        </w:tc>
        <w:tc>
          <w:tcPr>
            <w:tcW w:w="2583" w:type="dxa"/>
          </w:tcPr>
          <w:p w:rsidR="00183583" w:rsidRDefault="00C924AC" w:rsidP="00F45F6F">
            <w:r>
              <w:t>protokół</w:t>
            </w:r>
          </w:p>
        </w:tc>
      </w:tr>
      <w:tr w:rsidR="00183583" w:rsidTr="00F45F6F">
        <w:tc>
          <w:tcPr>
            <w:tcW w:w="9212" w:type="dxa"/>
            <w:gridSpan w:val="4"/>
            <w:vAlign w:val="center"/>
          </w:tcPr>
          <w:p w:rsidR="00183583" w:rsidRDefault="00183583" w:rsidP="00F45F6F">
            <w:pPr>
              <w:jc w:val="center"/>
            </w:pPr>
            <w:r>
              <w:t>KOMPETENCJE SPOŁECZNE</w:t>
            </w:r>
          </w:p>
        </w:tc>
      </w:tr>
      <w:tr w:rsidR="00183583" w:rsidTr="00F45F6F">
        <w:tc>
          <w:tcPr>
            <w:tcW w:w="1101" w:type="dxa"/>
          </w:tcPr>
          <w:p w:rsidR="0009657E" w:rsidRDefault="00215D79" w:rsidP="00F45F6F">
            <w:r>
              <w:t>K_01</w:t>
            </w:r>
          </w:p>
        </w:tc>
        <w:tc>
          <w:tcPr>
            <w:tcW w:w="2693" w:type="dxa"/>
          </w:tcPr>
          <w:p w:rsidR="00183583" w:rsidRDefault="00C924AC" w:rsidP="00F45F6F">
            <w:r>
              <w:t>Dyskusja</w:t>
            </w:r>
          </w:p>
        </w:tc>
        <w:tc>
          <w:tcPr>
            <w:tcW w:w="2835" w:type="dxa"/>
          </w:tcPr>
          <w:p w:rsidR="00183583" w:rsidRDefault="00215D79" w:rsidP="00F45F6F">
            <w:r>
              <w:t>Obserwacja</w:t>
            </w:r>
          </w:p>
        </w:tc>
        <w:tc>
          <w:tcPr>
            <w:tcW w:w="2583" w:type="dxa"/>
          </w:tcPr>
          <w:p w:rsidR="00183583" w:rsidRDefault="00C924AC" w:rsidP="00F45F6F">
            <w:r>
              <w:t>protokół</w:t>
            </w:r>
          </w:p>
        </w:tc>
      </w:tr>
    </w:tbl>
    <w:p w:rsidR="00183583" w:rsidRPr="00A125EB" w:rsidRDefault="00183583" w:rsidP="00183583">
      <w:pPr>
        <w:rPr>
          <w:b/>
        </w:rPr>
      </w:pPr>
    </w:p>
    <w:p w:rsidR="00183583" w:rsidRDefault="00183583" w:rsidP="001835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Kryteria oceny, uwagi: </w:t>
      </w:r>
    </w:p>
    <w:p w:rsidR="00A4094C" w:rsidRDefault="008E1501" w:rsidP="00666C74">
      <w:pPr>
        <w:pStyle w:val="Bezodstpw"/>
      </w:pPr>
      <w:r>
        <w:t>Ocena wypowiedzi studenta pod względem merytorycznym i formalnym</w:t>
      </w:r>
      <w:r w:rsidR="002C4F32">
        <w:t>.</w:t>
      </w:r>
    </w:p>
    <w:p w:rsidR="002C4F32" w:rsidRPr="00F276F1" w:rsidRDefault="002C4F32" w:rsidP="004A0AE1">
      <w:pPr>
        <w:pStyle w:val="Bezodstpw"/>
        <w:spacing w:before="120"/>
        <w:rPr>
          <w:b/>
        </w:rPr>
      </w:pPr>
      <w:r w:rsidRPr="00F276F1">
        <w:rPr>
          <w:b/>
        </w:rPr>
        <w:t>Ocena niedostateczna:</w:t>
      </w:r>
    </w:p>
    <w:p w:rsidR="002C4F32" w:rsidRDefault="002C4F32" w:rsidP="00666C74">
      <w:pPr>
        <w:pStyle w:val="Bezodstpw"/>
      </w:pPr>
      <w:r>
        <w:t>Student nie posiada podstawowej wiedzy na temat natury i dziejów filozofii, jej nurtów, stanowisk i przedstawicieli, a także jej roli w kształtowaniu podstaw kultury, nie potrafi wskazać podstawowych problemów filozoficznych oraz sposobów i rozwiązywania w ciągu dziejów. Nie potrafi precyzyjnie się wysławiać, ani spójnie zaprezentować posiadanej wiedzy.</w:t>
      </w:r>
    </w:p>
    <w:p w:rsidR="002C4F32" w:rsidRPr="004A0AE1" w:rsidRDefault="002C4F32" w:rsidP="004A0AE1">
      <w:pPr>
        <w:pStyle w:val="Bezodstpw"/>
        <w:spacing w:before="120"/>
        <w:rPr>
          <w:b/>
        </w:rPr>
      </w:pPr>
      <w:r w:rsidRPr="004A0AE1">
        <w:rPr>
          <w:b/>
        </w:rPr>
        <w:t>Ocena dostateczna:</w:t>
      </w:r>
    </w:p>
    <w:p w:rsidR="002C4F32" w:rsidRDefault="002C4F32" w:rsidP="00666C74">
      <w:pPr>
        <w:pStyle w:val="Bezodstpw"/>
      </w:pPr>
      <w:r>
        <w:t xml:space="preserve">Student posiada podstawową wiedzę na temat natury i dziejów </w:t>
      </w:r>
      <w:r w:rsidR="00390ADA">
        <w:t>nowożytnej i współczesnej</w:t>
      </w:r>
      <w:r>
        <w:t xml:space="preserve"> filozofii europejskiej, jej nurtów, stanowisk i przedstawicieli oraz roli filozofii w kształtowaniu podstaw kultury europejskiej, potrafi wskazać problemy </w:t>
      </w:r>
      <w:r w:rsidR="00B55BAB">
        <w:t xml:space="preserve">istotne </w:t>
      </w:r>
      <w:r>
        <w:t>filozoficzne</w:t>
      </w:r>
      <w:r w:rsidR="00B55BAB">
        <w:t>, nie posiada jednak dobrej znajomości zaproponowanych rozwiązań tych zagadnień. Nieprecyzyjnie formułuje wypowiedź.</w:t>
      </w:r>
    </w:p>
    <w:p w:rsidR="00B55BAB" w:rsidRPr="004A0AE1" w:rsidRDefault="00B55BAB" w:rsidP="004A0AE1">
      <w:pPr>
        <w:pStyle w:val="Bezodstpw"/>
        <w:spacing w:before="120"/>
        <w:rPr>
          <w:b/>
        </w:rPr>
      </w:pPr>
      <w:r w:rsidRPr="004A0AE1">
        <w:rPr>
          <w:b/>
        </w:rPr>
        <w:t>Ocena dobra</w:t>
      </w:r>
      <w:r w:rsidR="00DC262A" w:rsidRPr="004A0AE1">
        <w:rPr>
          <w:b/>
        </w:rPr>
        <w:t>:</w:t>
      </w:r>
    </w:p>
    <w:p w:rsidR="00B55BAB" w:rsidRDefault="00B55BAB" w:rsidP="00666C74">
      <w:pPr>
        <w:pStyle w:val="Bezodstpw"/>
      </w:pPr>
      <w:r>
        <w:t xml:space="preserve">Student posiada uporządkowaną wiedzę na temat natury i dziejów filozofii, jej nurtów stanowisk i przedstawicieli, a także jej roli w kształtowaniu podstaw kultury. Potrafi wskazać </w:t>
      </w:r>
      <w:r w:rsidR="00DC262A">
        <w:t>główne problemy wraz z propozycjami ich rozwiązań oraz rozumie konsekwencje przyjmowanych w filozofii założeń.</w:t>
      </w:r>
    </w:p>
    <w:p w:rsidR="00DC262A" w:rsidRPr="004A0AE1" w:rsidRDefault="00DC262A" w:rsidP="004A0AE1">
      <w:pPr>
        <w:pStyle w:val="Bezodstpw"/>
        <w:spacing w:before="120"/>
        <w:rPr>
          <w:b/>
        </w:rPr>
      </w:pPr>
      <w:r w:rsidRPr="004A0AE1">
        <w:rPr>
          <w:b/>
        </w:rPr>
        <w:t>Ocena bardzo dobra:</w:t>
      </w:r>
    </w:p>
    <w:p w:rsidR="00DC262A" w:rsidRDefault="00DC262A" w:rsidP="00666C74">
      <w:pPr>
        <w:pStyle w:val="Bezodstpw"/>
      </w:pPr>
      <w:r>
        <w:t xml:space="preserve">Student ma uporządkowaną i pogłębioną wiedzę na temat dziejów oraz natury </w:t>
      </w:r>
      <w:r w:rsidR="00390ADA">
        <w:t>nowożytnej i współczesnej</w:t>
      </w:r>
      <w:r>
        <w:t xml:space="preserve"> filozofii europejskiej, jej nurtów i przedstawicieli</w:t>
      </w:r>
      <w:r w:rsidR="00A77E40">
        <w:t>, a także jej roli w kształtowaniu podstaw kultury. Potrafi wykorzystać posiadaną wiedzę do samodzielnego rozwiązania postawionego problemu oraz uzasadnić to rozwiązanie. Precyzyjnie formułuje omawiane poglądy filozoficzne, jest świadomy ich odniesień światopoglądowych i religijnych. Wykazuje zrozumienie potrzeby dialogu z osobami reprezentującymi odmienne przekonania.</w:t>
      </w:r>
    </w:p>
    <w:p w:rsidR="00E31555" w:rsidRPr="00071D3A" w:rsidRDefault="00E31555" w:rsidP="00666C74">
      <w:pPr>
        <w:pStyle w:val="Bezodstpw"/>
      </w:pPr>
    </w:p>
    <w:p w:rsidR="00183583" w:rsidRPr="006E5344" w:rsidRDefault="00183583" w:rsidP="00183583">
      <w:pPr>
        <w:ind w:left="360"/>
        <w:rPr>
          <w:b/>
        </w:rPr>
      </w:pPr>
      <w:r>
        <w:rPr>
          <w:b/>
        </w:rPr>
        <w:t xml:space="preserve">VII. </w:t>
      </w:r>
      <w:r w:rsidRPr="006E534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83583" w:rsidRPr="004E2DB4" w:rsidTr="00F45F6F">
        <w:tc>
          <w:tcPr>
            <w:tcW w:w="4606" w:type="dxa"/>
          </w:tcPr>
          <w:p w:rsidR="00183583" w:rsidRPr="004E2DB4" w:rsidRDefault="00183583" w:rsidP="00F45F6F">
            <w:r w:rsidRPr="004E2DB4">
              <w:t>Forma aktywności studenta</w:t>
            </w:r>
          </w:p>
        </w:tc>
        <w:tc>
          <w:tcPr>
            <w:tcW w:w="4606" w:type="dxa"/>
          </w:tcPr>
          <w:p w:rsidR="00183583" w:rsidRPr="004E2DB4" w:rsidRDefault="00183583" w:rsidP="00F45F6F">
            <w:r w:rsidRPr="004E2DB4">
              <w:t>Liczba godzin</w:t>
            </w:r>
          </w:p>
        </w:tc>
      </w:tr>
      <w:tr w:rsidR="00183583" w:rsidTr="00F45F6F">
        <w:tc>
          <w:tcPr>
            <w:tcW w:w="4606" w:type="dxa"/>
          </w:tcPr>
          <w:p w:rsidR="00183583" w:rsidRPr="009C0496" w:rsidRDefault="00183583" w:rsidP="00F45F6F">
            <w:r>
              <w:t xml:space="preserve">Liczba godzin kontaktowych z nauczycielem </w:t>
            </w:r>
          </w:p>
        </w:tc>
        <w:tc>
          <w:tcPr>
            <w:tcW w:w="4606" w:type="dxa"/>
          </w:tcPr>
          <w:p w:rsidR="00183583" w:rsidRDefault="00AD4391" w:rsidP="00F45F6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83583" w:rsidTr="00F45F6F">
        <w:tc>
          <w:tcPr>
            <w:tcW w:w="4606" w:type="dxa"/>
          </w:tcPr>
          <w:p w:rsidR="00183583" w:rsidRPr="009C0496" w:rsidRDefault="00183583" w:rsidP="00F45F6F">
            <w:r w:rsidRPr="004E2DB4">
              <w:t>Liczba godzin indywidualnej pracy studenta</w:t>
            </w:r>
          </w:p>
        </w:tc>
        <w:tc>
          <w:tcPr>
            <w:tcW w:w="4606" w:type="dxa"/>
          </w:tcPr>
          <w:p w:rsidR="00183583" w:rsidRDefault="00AD4391" w:rsidP="00F45F6F">
            <w:pPr>
              <w:rPr>
                <w:b/>
              </w:rPr>
            </w:pPr>
            <w:r>
              <w:rPr>
                <w:b/>
              </w:rPr>
              <w:t>3</w:t>
            </w:r>
            <w:r w:rsidR="00183583">
              <w:rPr>
                <w:b/>
              </w:rPr>
              <w:t>0</w:t>
            </w:r>
          </w:p>
        </w:tc>
      </w:tr>
    </w:tbl>
    <w:p w:rsidR="00183583" w:rsidRDefault="00183583" w:rsidP="00183583">
      <w:pPr>
        <w:spacing w:after="0"/>
        <w:rPr>
          <w:b/>
        </w:rPr>
      </w:pPr>
    </w:p>
    <w:p w:rsidR="00183583" w:rsidRPr="006E5344" w:rsidRDefault="00183583" w:rsidP="00183583">
      <w:pPr>
        <w:ind w:left="567"/>
        <w:rPr>
          <w:b/>
        </w:rPr>
      </w:pPr>
      <w:r>
        <w:rPr>
          <w:b/>
        </w:rPr>
        <w:t xml:space="preserve">VIII. </w:t>
      </w:r>
      <w:r w:rsidRPr="006E5344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94C" w:rsidTr="00F45F6F">
        <w:tc>
          <w:tcPr>
            <w:tcW w:w="9212" w:type="dxa"/>
          </w:tcPr>
          <w:p w:rsidR="00A4094C" w:rsidRPr="009C0496" w:rsidRDefault="00A4094C" w:rsidP="00F45F6F">
            <w:pPr>
              <w:rPr>
                <w:b/>
              </w:rPr>
            </w:pPr>
            <w:r w:rsidRPr="009C0496">
              <w:rPr>
                <w:b/>
              </w:rPr>
              <w:t>Literatura podstawowa</w:t>
            </w:r>
          </w:p>
        </w:tc>
      </w:tr>
      <w:tr w:rsidR="00183583" w:rsidRPr="00071D3A" w:rsidTr="00F45F6F">
        <w:tc>
          <w:tcPr>
            <w:tcW w:w="9212" w:type="dxa"/>
          </w:tcPr>
          <w:p w:rsidR="00A4094C" w:rsidRPr="00071D3A" w:rsidRDefault="00071D3A" w:rsidP="00F45F6F">
            <w:r w:rsidRPr="00071D3A">
              <w:t>W. Tatarkiewicz, Historia filozofii, t</w:t>
            </w:r>
            <w:r>
              <w:t>.</w:t>
            </w:r>
            <w:r w:rsidR="00DD759F">
              <w:t xml:space="preserve"> I,</w:t>
            </w:r>
            <w:r>
              <w:t xml:space="preserve"> I</w:t>
            </w:r>
            <w:r w:rsidR="00390ADA">
              <w:t>I, III</w:t>
            </w:r>
            <w:r w:rsidR="00107D46">
              <w:t>;</w:t>
            </w:r>
            <w:r>
              <w:t xml:space="preserve"> S. Swieżawski, </w:t>
            </w:r>
            <w:r w:rsidR="00390ADA">
              <w:t>Między średniowieczem a czasami nowymi, Warszawa 1983</w:t>
            </w:r>
            <w:r w:rsidR="00107D46">
              <w:t xml:space="preserve"> 2000; </w:t>
            </w:r>
            <w:r w:rsidR="00DD759F">
              <w:t xml:space="preserve">G. Reale, Myśl starożytna, Lublin 2010, </w:t>
            </w:r>
            <w:r w:rsidR="00107D46">
              <w:t xml:space="preserve">E. Gilson, </w:t>
            </w:r>
            <w:r w:rsidR="000C2018">
              <w:t>T. Langan, A. A. Maurer,</w:t>
            </w:r>
            <w:r w:rsidR="00DD759F">
              <w:t xml:space="preserve"> </w:t>
            </w:r>
            <w:r w:rsidR="00107D46">
              <w:t xml:space="preserve">Historia filozofii </w:t>
            </w:r>
            <w:r w:rsidR="000C2018">
              <w:t>współczesnej</w:t>
            </w:r>
            <w:r w:rsidR="00107D46">
              <w:t>, Warszawa 19</w:t>
            </w:r>
            <w:r w:rsidR="000C2018">
              <w:t>79</w:t>
            </w:r>
            <w:r w:rsidR="00107D46">
              <w:t>; F. Copleston</w:t>
            </w:r>
            <w:r w:rsidR="00F571ED">
              <w:t>, Historia filozofii, t. I – I</w:t>
            </w:r>
            <w:r w:rsidR="000C2018">
              <w:t>X</w:t>
            </w:r>
            <w:r w:rsidR="00F571ED">
              <w:t>, Warszawa 1998</w:t>
            </w:r>
          </w:p>
        </w:tc>
      </w:tr>
      <w:tr w:rsidR="00183583" w:rsidTr="00F45F6F">
        <w:tc>
          <w:tcPr>
            <w:tcW w:w="9212" w:type="dxa"/>
          </w:tcPr>
          <w:p w:rsidR="00183583" w:rsidRPr="009C0496" w:rsidRDefault="00183583" w:rsidP="00F45F6F">
            <w:pPr>
              <w:rPr>
                <w:b/>
              </w:rPr>
            </w:pPr>
            <w:r w:rsidRPr="009C0496">
              <w:rPr>
                <w:b/>
              </w:rPr>
              <w:t>Literatura uzupełniająca</w:t>
            </w:r>
          </w:p>
        </w:tc>
      </w:tr>
      <w:tr w:rsidR="00183583" w:rsidTr="00F45F6F">
        <w:tc>
          <w:tcPr>
            <w:tcW w:w="9212" w:type="dxa"/>
          </w:tcPr>
          <w:p w:rsidR="00183583" w:rsidRPr="00666C74" w:rsidRDefault="00DD759F" w:rsidP="00DD759F">
            <w:pPr>
              <w:jc w:val="both"/>
            </w:pPr>
            <w:r>
              <w:t xml:space="preserve">A. Krokiewicz, Zarys filozofii greckiej, Warszawa 2000, </w:t>
            </w:r>
            <w:r w:rsidR="000C2018">
              <w:t>T. Gadacz, Historia filozofii XX wieku; nurty, t. I – II, Kraków 2010; A. J. Ayer, Filozofia w XX wieku, Warszawa 2000, K. Pomian, Przeszłość jako przedmiot wiedzy, Warszawa 1992, S. Swieżawski, u źródeł nowożytnej etyki, Kraków 1987</w:t>
            </w:r>
            <w:r w:rsidR="00282296">
              <w:t xml:space="preserve">; </w:t>
            </w:r>
          </w:p>
        </w:tc>
      </w:tr>
    </w:tbl>
    <w:p w:rsidR="00EE36A0" w:rsidRDefault="00EE36A0"/>
    <w:sectPr w:rsidR="00EE36A0" w:rsidSect="00EE6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00" w:rsidRDefault="003B0600" w:rsidP="0091049B">
      <w:pPr>
        <w:spacing w:after="0" w:line="240" w:lineRule="auto"/>
      </w:pPr>
      <w:r>
        <w:separator/>
      </w:r>
    </w:p>
  </w:endnote>
  <w:endnote w:type="continuationSeparator" w:id="0">
    <w:p w:rsidR="003B0600" w:rsidRDefault="003B0600" w:rsidP="0091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00" w:rsidRDefault="003B0600" w:rsidP="0091049B">
      <w:pPr>
        <w:spacing w:after="0" w:line="240" w:lineRule="auto"/>
      </w:pPr>
      <w:r>
        <w:separator/>
      </w:r>
    </w:p>
  </w:footnote>
  <w:footnote w:type="continuationSeparator" w:id="0">
    <w:p w:rsidR="003B0600" w:rsidRDefault="003B0600" w:rsidP="0091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A4094C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3B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32F"/>
    <w:multiLevelType w:val="hybridMultilevel"/>
    <w:tmpl w:val="06543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0DC"/>
    <w:multiLevelType w:val="hybridMultilevel"/>
    <w:tmpl w:val="BA76E6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E13"/>
    <w:multiLevelType w:val="hybridMultilevel"/>
    <w:tmpl w:val="B3AC5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08A5"/>
    <w:multiLevelType w:val="hybridMultilevel"/>
    <w:tmpl w:val="4CBC3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6662"/>
    <w:multiLevelType w:val="hybridMultilevel"/>
    <w:tmpl w:val="911ED9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F64B2"/>
    <w:multiLevelType w:val="hybridMultilevel"/>
    <w:tmpl w:val="05840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3"/>
    <w:rsid w:val="00047711"/>
    <w:rsid w:val="00071D3A"/>
    <w:rsid w:val="0009657E"/>
    <w:rsid w:val="000A6F77"/>
    <w:rsid w:val="000C1236"/>
    <w:rsid w:val="000C2018"/>
    <w:rsid w:val="000F3321"/>
    <w:rsid w:val="00107D46"/>
    <w:rsid w:val="00150547"/>
    <w:rsid w:val="00154A50"/>
    <w:rsid w:val="00174D73"/>
    <w:rsid w:val="00175FF1"/>
    <w:rsid w:val="00183583"/>
    <w:rsid w:val="00193AEF"/>
    <w:rsid w:val="001C11FD"/>
    <w:rsid w:val="00215D79"/>
    <w:rsid w:val="0028204E"/>
    <w:rsid w:val="00282296"/>
    <w:rsid w:val="0029792A"/>
    <w:rsid w:val="002B4382"/>
    <w:rsid w:val="002C4F32"/>
    <w:rsid w:val="00390ADA"/>
    <w:rsid w:val="00391D3C"/>
    <w:rsid w:val="003947E7"/>
    <w:rsid w:val="003B0600"/>
    <w:rsid w:val="00467A51"/>
    <w:rsid w:val="00495B49"/>
    <w:rsid w:val="0049623C"/>
    <w:rsid w:val="004A0AE1"/>
    <w:rsid w:val="00546627"/>
    <w:rsid w:val="005E1C33"/>
    <w:rsid w:val="006101BF"/>
    <w:rsid w:val="00666C74"/>
    <w:rsid w:val="00685521"/>
    <w:rsid w:val="006910D2"/>
    <w:rsid w:val="00743417"/>
    <w:rsid w:val="008659EB"/>
    <w:rsid w:val="008E1501"/>
    <w:rsid w:val="0091049B"/>
    <w:rsid w:val="00914F3D"/>
    <w:rsid w:val="00952D00"/>
    <w:rsid w:val="009C0496"/>
    <w:rsid w:val="009F58EF"/>
    <w:rsid w:val="00A27C27"/>
    <w:rsid w:val="00A4094C"/>
    <w:rsid w:val="00A77E40"/>
    <w:rsid w:val="00AD4391"/>
    <w:rsid w:val="00B55BAB"/>
    <w:rsid w:val="00C068BB"/>
    <w:rsid w:val="00C924AC"/>
    <w:rsid w:val="00CC7382"/>
    <w:rsid w:val="00CD28B8"/>
    <w:rsid w:val="00CE74A7"/>
    <w:rsid w:val="00D21FF7"/>
    <w:rsid w:val="00D24D40"/>
    <w:rsid w:val="00D30AD4"/>
    <w:rsid w:val="00D70451"/>
    <w:rsid w:val="00D948B1"/>
    <w:rsid w:val="00DC262A"/>
    <w:rsid w:val="00DD759F"/>
    <w:rsid w:val="00E31555"/>
    <w:rsid w:val="00E71A24"/>
    <w:rsid w:val="00E93910"/>
    <w:rsid w:val="00EE36A0"/>
    <w:rsid w:val="00EF57B3"/>
    <w:rsid w:val="00F276F1"/>
    <w:rsid w:val="00F571ED"/>
    <w:rsid w:val="00F65CD9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BF80"/>
  <w15:docId w15:val="{BDC3E418-BEB1-4ECB-8754-298B7CF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83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3"/>
    <w:pPr>
      <w:ind w:left="720"/>
      <w:contextualSpacing/>
    </w:pPr>
  </w:style>
  <w:style w:type="paragraph" w:customStyle="1" w:styleId="Default">
    <w:name w:val="Default"/>
    <w:qFormat/>
    <w:rsid w:val="00183583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358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583"/>
  </w:style>
  <w:style w:type="character" w:customStyle="1" w:styleId="tlid-translation">
    <w:name w:val="tlid-translation"/>
    <w:basedOn w:val="Domylnaczcionkaakapitu"/>
    <w:rsid w:val="00183583"/>
  </w:style>
  <w:style w:type="paragraph" w:styleId="Bezodstpw">
    <w:name w:val="No Spacing"/>
    <w:uiPriority w:val="1"/>
    <w:qFormat/>
    <w:rsid w:val="00666C74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Dariusz Dąbek</cp:lastModifiedBy>
  <cp:revision>19</cp:revision>
  <cp:lastPrinted>2019-06-28T05:43:00Z</cp:lastPrinted>
  <dcterms:created xsi:type="dcterms:W3CDTF">2019-06-10T20:55:00Z</dcterms:created>
  <dcterms:modified xsi:type="dcterms:W3CDTF">2020-11-07T12:24:00Z</dcterms:modified>
</cp:coreProperties>
</file>