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</w:rPr>
      </w:pPr>
      <w:r>
        <w:rPr>
          <w:b/>
        </w:rPr>
        <w:t xml:space="preserve">KARTA PRZEDMIOTU 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Dane podstawowe</w:t>
      </w:r>
    </w:p>
    <w:tbl>
      <w:tblPr>
        <w:tblStyle w:val="Tabela-Siatka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2"/>
        <w:gridCol w:w="4529"/>
      </w:tblGrid>
      <w:tr>
        <w:trPr/>
        <w:tc>
          <w:tcPr>
            <w:tcW w:w="45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Nazwa przedmiotu</w:t>
            </w:r>
          </w:p>
        </w:tc>
        <w:tc>
          <w:tcPr>
            <w:tcW w:w="45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Katolicka nauka społeczna i myśl społeczna Jana Pawła II</w:t>
            </w:r>
          </w:p>
        </w:tc>
      </w:tr>
      <w:tr>
        <w:trPr/>
        <w:tc>
          <w:tcPr>
            <w:tcW w:w="45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Nazwa przedmiotu w języku angielskim</w:t>
            </w:r>
          </w:p>
        </w:tc>
        <w:tc>
          <w:tcPr>
            <w:tcW w:w="45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Catholic Social Thought and the Social Thought of John Paul II</w:t>
            </w:r>
          </w:p>
        </w:tc>
      </w:tr>
      <w:tr>
        <w:trPr/>
        <w:tc>
          <w:tcPr>
            <w:tcW w:w="45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Kierunek studiów </w:t>
            </w:r>
          </w:p>
        </w:tc>
        <w:tc>
          <w:tcPr>
            <w:tcW w:w="45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45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Poziom studiów (I, II, jednolite magisterskie)</w:t>
            </w:r>
          </w:p>
        </w:tc>
        <w:tc>
          <w:tcPr>
            <w:tcW w:w="45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45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Forma studiów (stacjonarne, niestacjonarne)</w:t>
            </w:r>
          </w:p>
        </w:tc>
        <w:tc>
          <w:tcPr>
            <w:tcW w:w="45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Stacjonarne </w:t>
            </w:r>
          </w:p>
        </w:tc>
      </w:tr>
      <w:tr>
        <w:trPr/>
        <w:tc>
          <w:tcPr>
            <w:tcW w:w="45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Dyscyplina</w:t>
            </w:r>
          </w:p>
        </w:tc>
        <w:tc>
          <w:tcPr>
            <w:tcW w:w="45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Nauki socjologiczne</w:t>
            </w:r>
          </w:p>
        </w:tc>
      </w:tr>
      <w:tr>
        <w:trPr/>
        <w:tc>
          <w:tcPr>
            <w:tcW w:w="45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Język wykładowy</w:t>
            </w:r>
          </w:p>
        </w:tc>
        <w:tc>
          <w:tcPr>
            <w:tcW w:w="45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Polski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Style w:val="Tabela-Siatka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40"/>
        <w:gridCol w:w="4521"/>
      </w:tblGrid>
      <w:tr>
        <w:trPr/>
        <w:tc>
          <w:tcPr>
            <w:tcW w:w="45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Koordynator przedmiotu/osoba odpowiedzialna</w:t>
            </w:r>
          </w:p>
        </w:tc>
        <w:tc>
          <w:tcPr>
            <w:tcW w:w="45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de-DE"/>
              </w:rPr>
            </w:pPr>
            <w:r>
              <w:rPr>
                <w:rFonts w:cs="Calibri" w:cstheme="minorHAnsi"/>
                <w:lang w:val="de-DE"/>
              </w:rPr>
              <w:t>Ks. dr hab. Stanisław Fel, prof. KUL</w:t>
            </w:r>
            <w:bookmarkStart w:id="0" w:name="_GoBack"/>
            <w:bookmarkEnd w:id="0"/>
          </w:p>
        </w:tc>
      </w:tr>
    </w:tbl>
    <w:p>
      <w:pPr>
        <w:pStyle w:val="Normal"/>
        <w:spacing w:before="0" w:after="0"/>
        <w:rPr>
          <w:lang w:val="de-DE"/>
        </w:rPr>
      </w:pPr>
      <w:r>
        <w:rPr>
          <w:lang w:val="de-DE"/>
        </w:rPr>
      </w:r>
    </w:p>
    <w:tbl>
      <w:tblPr>
        <w:tblStyle w:val="Tabela-Siatka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70"/>
        <w:gridCol w:w="2262"/>
        <w:gridCol w:w="2268"/>
        <w:gridCol w:w="2261"/>
      </w:tblGrid>
      <w:tr>
        <w:trPr/>
        <w:tc>
          <w:tcPr>
            <w:tcW w:w="22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 xml:space="preserve">Forma zajęć </w:t>
            </w:r>
            <w:r>
              <w:rPr>
                <w:i/>
              </w:rPr>
              <w:t>(katalog zamknięty ze słownika)</w:t>
            </w:r>
          </w:p>
        </w:tc>
        <w:tc>
          <w:tcPr>
            <w:tcW w:w="22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Liczba godzin</w:t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semestr</w:t>
            </w:r>
          </w:p>
        </w:tc>
        <w:tc>
          <w:tcPr>
            <w:tcW w:w="22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Punkty ECTS</w:t>
            </w:r>
          </w:p>
        </w:tc>
      </w:tr>
      <w:tr>
        <w:trPr/>
        <w:tc>
          <w:tcPr>
            <w:tcW w:w="22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wykład</w:t>
            </w:r>
          </w:p>
        </w:tc>
        <w:tc>
          <w:tcPr>
            <w:tcW w:w="22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30</w:t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Style w:val="Tabela-Siatka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12"/>
        <w:gridCol w:w="6849"/>
      </w:tblGrid>
      <w:tr>
        <w:trPr/>
        <w:tc>
          <w:tcPr>
            <w:tcW w:w="22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Wymagania wstępne</w:t>
            </w:r>
          </w:p>
        </w:tc>
        <w:tc>
          <w:tcPr>
            <w:tcW w:w="68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Znajomość podstawowych terminów z zakresu etyki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 xml:space="preserve">Cele kształcenia dla przedmiotu </w:t>
      </w:r>
    </w:p>
    <w:tbl>
      <w:tblPr>
        <w:tblStyle w:val="Tabela-Siatka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C1. Promocja KNS jako wzorca dla kształtowania instytucjonalnej przestrzeni życia społecznego.</w:t>
            </w:r>
          </w:p>
        </w:tc>
      </w:tr>
      <w:tr>
        <w:trPr/>
        <w:tc>
          <w:tcPr>
            <w:tcW w:w="90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C2. Promocja wartości i zasad KNS jako uniwersalnego kryterium funkcjonowania ustrojów społeczno-prawnych</w:t>
            </w:r>
          </w:p>
        </w:tc>
      </w:tr>
      <w:tr>
        <w:trPr/>
        <w:tc>
          <w:tcPr>
            <w:tcW w:w="90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C3. Ukazanie historycznej zmienności funkcjonalnych subsystemów życia społecznego: ekonomii, państwa, rodziny, wiedzy, religii na tle niezmiennych wartości oraz rozwojowości zasad KNS.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Efekty uczenia się dla przedmiotu wraz z odniesieniem do efektów kierunkowych</w:t>
      </w:r>
    </w:p>
    <w:tbl>
      <w:tblPr>
        <w:tblStyle w:val="Tabela-Siatka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92"/>
        <w:gridCol w:w="5832"/>
        <w:gridCol w:w="2138"/>
      </w:tblGrid>
      <w:tr>
        <w:trPr/>
        <w:tc>
          <w:tcPr>
            <w:tcW w:w="109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Symbol</w:t>
            </w:r>
          </w:p>
        </w:tc>
        <w:tc>
          <w:tcPr>
            <w:tcW w:w="58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Opis efektu przedmiotowego</w:t>
            </w:r>
          </w:p>
        </w:tc>
        <w:tc>
          <w:tcPr>
            <w:tcW w:w="213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Odniesienie do efektu kierunkowego</w:t>
            </w:r>
          </w:p>
        </w:tc>
      </w:tr>
      <w:tr>
        <w:trPr/>
        <w:tc>
          <w:tcPr>
            <w:tcW w:w="9062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WIEDZA: absolwent zna i rozumie</w:t>
            </w:r>
          </w:p>
        </w:tc>
      </w:tr>
      <w:tr>
        <w:trPr/>
        <w:tc>
          <w:tcPr>
            <w:tcW w:w="10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W_01</w:t>
            </w:r>
          </w:p>
        </w:tc>
        <w:tc>
          <w:tcPr>
            <w:tcW w:w="58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rozwinięta przez Jana Pawła II personalistyczną koncepcję człowieka jako podmiotu i celu życia społecznego</w:t>
            </w:r>
          </w:p>
        </w:tc>
        <w:tc>
          <w:tcPr>
            <w:tcW w:w="21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B0F0"/>
              </w:rPr>
            </w:pPr>
            <w:r>
              <w:rPr>
                <w:color w:val="00B0F0"/>
              </w:rPr>
              <w:t>Nie dot.</w:t>
            </w:r>
          </w:p>
        </w:tc>
      </w:tr>
      <w:tr>
        <w:trPr/>
        <w:tc>
          <w:tcPr>
            <w:tcW w:w="10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W_02</w:t>
            </w:r>
          </w:p>
        </w:tc>
        <w:tc>
          <w:tcPr>
            <w:tcW w:w="58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zbiór zasad i wartości katolickiej nauki społecznej z centralną zasadą godności człowieka oraz podstawowe prawa i obowiązki osoby ludzkiej</w:t>
            </w:r>
          </w:p>
        </w:tc>
        <w:tc>
          <w:tcPr>
            <w:tcW w:w="21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color w:val="00B0F0"/>
              </w:rPr>
              <w:t>Nie dot.</w:t>
            </w:r>
          </w:p>
        </w:tc>
      </w:tr>
      <w:tr>
        <w:trPr/>
        <w:tc>
          <w:tcPr>
            <w:tcW w:w="10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W_03</w:t>
            </w:r>
          </w:p>
        </w:tc>
        <w:tc>
          <w:tcPr>
            <w:tcW w:w="58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 xml:space="preserve">Pięć funkcjonalnych zakresów życia społecznego (ekonomii, państwa, rodziny, nauki i religii) w perspektywie ich historycznej zmienności </w:t>
            </w:r>
          </w:p>
        </w:tc>
        <w:tc>
          <w:tcPr>
            <w:tcW w:w="21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color w:val="00B0F0"/>
              </w:rPr>
              <w:t>Nie dot.</w:t>
            </w:r>
          </w:p>
        </w:tc>
      </w:tr>
      <w:tr>
        <w:trPr/>
        <w:tc>
          <w:tcPr>
            <w:tcW w:w="10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W_04</w:t>
            </w:r>
          </w:p>
        </w:tc>
        <w:tc>
          <w:tcPr>
            <w:tcW w:w="58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poglądy na temat wybranych konstrukcji życia społecznego oraz ich praktycznych zastosowań</w:t>
            </w:r>
          </w:p>
        </w:tc>
        <w:tc>
          <w:tcPr>
            <w:tcW w:w="21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color w:val="00B0F0"/>
              </w:rPr>
              <w:t>Nie dot.</w:t>
            </w:r>
          </w:p>
        </w:tc>
      </w:tr>
      <w:tr>
        <w:trPr/>
        <w:tc>
          <w:tcPr>
            <w:tcW w:w="10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W_05</w:t>
            </w:r>
          </w:p>
        </w:tc>
        <w:tc>
          <w:tcPr>
            <w:tcW w:w="58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 xml:space="preserve">funkcjonowanie współczesnych mediów i ich etyczną odpowiedzialność </w:t>
            </w:r>
          </w:p>
        </w:tc>
        <w:tc>
          <w:tcPr>
            <w:tcW w:w="21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color w:val="00B0F0"/>
              </w:rPr>
              <w:t>Nie dot.</w:t>
            </w:r>
          </w:p>
        </w:tc>
      </w:tr>
      <w:tr>
        <w:trPr/>
        <w:tc>
          <w:tcPr>
            <w:tcW w:w="9062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UMIEJĘTNOŚCI: absolwent potrafi</w:t>
            </w:r>
          </w:p>
        </w:tc>
      </w:tr>
      <w:tr>
        <w:trPr/>
        <w:tc>
          <w:tcPr>
            <w:tcW w:w="10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U_01</w:t>
            </w:r>
          </w:p>
        </w:tc>
        <w:tc>
          <w:tcPr>
            <w:tcW w:w="58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samodzielnie analizować, rozumieć oraz krytycznie ocenić zjawiska społeczne z perspektywy godności osoby ludzkiej jako wartości uniwersalnej i absolutnej</w:t>
            </w:r>
          </w:p>
        </w:tc>
        <w:tc>
          <w:tcPr>
            <w:tcW w:w="21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color w:val="00B0F0"/>
              </w:rPr>
              <w:t>Nie dot.</w:t>
            </w:r>
          </w:p>
        </w:tc>
      </w:tr>
      <w:tr>
        <w:trPr/>
        <w:tc>
          <w:tcPr>
            <w:tcW w:w="10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U_02</w:t>
            </w:r>
          </w:p>
        </w:tc>
        <w:tc>
          <w:tcPr>
            <w:tcW w:w="58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uzasadnić postawy i działania wynikające z najważniejszych zasad i wartości katolickiej nauki społecznej oraz ich aplikację w przestrzeni społecznej i publicznej</w:t>
            </w:r>
          </w:p>
        </w:tc>
        <w:tc>
          <w:tcPr>
            <w:tcW w:w="21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color w:val="00B0F0"/>
              </w:rPr>
              <w:t>Nie dot.</w:t>
            </w:r>
          </w:p>
        </w:tc>
      </w:tr>
      <w:tr>
        <w:trPr/>
        <w:tc>
          <w:tcPr>
            <w:tcW w:w="10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U_03</w:t>
            </w:r>
          </w:p>
        </w:tc>
        <w:tc>
          <w:tcPr>
            <w:tcW w:w="58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ocenić funkcjonowanie instytucji społecznych według kryterium sprawiedliwości społecznej oraz uzasadnić swoje stanowisko w tej kwestii</w:t>
            </w:r>
          </w:p>
        </w:tc>
        <w:tc>
          <w:tcPr>
            <w:tcW w:w="21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color w:val="00B0F0"/>
              </w:rPr>
              <w:t>Nie dot.</w:t>
            </w:r>
          </w:p>
        </w:tc>
      </w:tr>
      <w:tr>
        <w:trPr/>
        <w:tc>
          <w:tcPr>
            <w:tcW w:w="9062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KOMPETENCJE SPOŁECZNE: absolwent jest gotów do</w:t>
            </w:r>
          </w:p>
        </w:tc>
      </w:tr>
      <w:tr>
        <w:trPr/>
        <w:tc>
          <w:tcPr>
            <w:tcW w:w="10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K_01</w:t>
            </w:r>
          </w:p>
        </w:tc>
        <w:tc>
          <w:tcPr>
            <w:tcW w:w="58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Wrażliwości na różne przejawy braku szacunku wobec godności osoby ludzkiej oraz na potrzebę implementacji postulatów katolickiej nauki społecznej w obszarze polityki i gospodarki</w:t>
            </w:r>
          </w:p>
        </w:tc>
        <w:tc>
          <w:tcPr>
            <w:tcW w:w="21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color w:val="00B0F0"/>
              </w:rPr>
              <w:t>Nie dot.</w:t>
            </w:r>
          </w:p>
        </w:tc>
      </w:tr>
      <w:tr>
        <w:trPr/>
        <w:tc>
          <w:tcPr>
            <w:tcW w:w="10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K_02</w:t>
            </w:r>
          </w:p>
        </w:tc>
        <w:tc>
          <w:tcPr>
            <w:tcW w:w="58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 xml:space="preserve">Współdziałania w przygotowaniu projektów społecznych inspirowanych wartościami i zasadami katolickiej nauki społecznej </w:t>
            </w:r>
          </w:p>
        </w:tc>
        <w:tc>
          <w:tcPr>
            <w:tcW w:w="21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color w:val="00B0F0"/>
              </w:rPr>
              <w:t>Nie dot.</w:t>
            </w:r>
          </w:p>
        </w:tc>
      </w:tr>
      <w:tr>
        <w:trPr/>
        <w:tc>
          <w:tcPr>
            <w:tcW w:w="10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K_03</w:t>
            </w:r>
          </w:p>
        </w:tc>
        <w:tc>
          <w:tcPr>
            <w:tcW w:w="58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 xml:space="preserve">Ustawicznego doskonalenia swojej wiedzy i zachęcania i organizowania edukacji innych osób w duchu humanizmu chrześcijańskiego </w:t>
            </w:r>
          </w:p>
        </w:tc>
        <w:tc>
          <w:tcPr>
            <w:tcW w:w="21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color w:val="00B0F0"/>
              </w:rPr>
              <w:t>Nie dot.</w:t>
            </w:r>
          </w:p>
        </w:tc>
      </w:tr>
      <w:tr>
        <w:trPr/>
        <w:tc>
          <w:tcPr>
            <w:tcW w:w="10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K_04</w:t>
            </w:r>
          </w:p>
        </w:tc>
        <w:tc>
          <w:tcPr>
            <w:tcW w:w="58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 xml:space="preserve">Określania priorytetów wynikających z podstawowych praw osoby ludzkiej oraz uwzględnienia ich przy podejmowaniu różnego rodzaju inicjatyw obywatelskich </w:t>
            </w:r>
          </w:p>
        </w:tc>
        <w:tc>
          <w:tcPr>
            <w:tcW w:w="21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color w:val="00B0F0"/>
              </w:rPr>
              <w:t>Nie dot.</w:t>
            </w:r>
          </w:p>
        </w:tc>
      </w:tr>
    </w:tbl>
    <w:p>
      <w:pPr>
        <w:pStyle w:val="ListParagraph"/>
        <w:ind w:left="1080" w:hanging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Opis przedmiotu/ treści programowe</w:t>
      </w:r>
    </w:p>
    <w:tbl>
      <w:tblPr>
        <w:tblStyle w:val="Tabela-Siatka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 xml:space="preserve">1. </w:t>
            </w:r>
            <w:bookmarkStart w:id="1" w:name="__DdeLink__826_2404565114"/>
            <w:bookmarkStart w:id="2" w:name="__DdeLink__417_146924266"/>
            <w:r>
              <w:rPr/>
              <w:t>KNS jako dyscyplina naukowa: definicja, przedmiot, cele, metoda, źródła.</w:t>
            </w:r>
            <w:bookmarkEnd w:id="1"/>
            <w:bookmarkEnd w:id="2"/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2. System społeczny i komplementarność systemów cząstkowych: ekonomii, państwa, rodziny, religii, nauki.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3. Zmiana modelu funkcjonowania instytucji społecznych w programie nowożytnej moderny jako klucz rozumienia konfliktów społecznych w XIX wieku.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4. Wartości i zasady KNS: godność ludzka, personalizm, solidarność, pomocniczość, dobro wspólne, sprawiedliwość społeczna.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5. Prawa człowieka: historyczność i normatywność, typologia, cechy charakterystyczne, korelacja praw i obowiązków.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color w:val="C9211E"/>
              </w:rPr>
            </w:pPr>
            <w:r>
              <w:rPr>
                <w:color w:val="C9211E"/>
              </w:rPr>
              <w:t>6. Rodzina: prawa i obowiązki.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color w:val="C9211E"/>
              </w:rPr>
            </w:pPr>
            <w:r>
              <w:rPr>
                <w:color w:val="C9211E"/>
              </w:rPr>
              <w:t>7. Religia i światopogląd w społeczeństwie sekularnym.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color w:val="C9211E"/>
              </w:rPr>
            </w:pPr>
            <w:r>
              <w:rPr>
                <w:color w:val="C9211E"/>
              </w:rPr>
              <w:t>8. Państwa a społeczeństwo.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9. Społeczeństwo obywatelskie: sfera publiczna i granice demokracji.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10. Ideologia a światopogląd, koncepcje uspołecznienia: indywidualizm i kolektywizm.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11. Ekonomia: liberalizm, źródła, założenia, typologia.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12. Socjalizm, marksizm: historyczność, założenia, typologia.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13. Patriotyzm vs. kosmopolityzm, globalizm.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14. System medialny jako tuba interesu społecznego.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color w:val="C9211E"/>
              </w:rPr>
            </w:pPr>
            <w:r>
              <w:rPr>
                <w:color w:val="C9211E"/>
              </w:rPr>
              <w:t>15. Troska o środowisko naturalne jako przejaw solidarności globalnej.</w:t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Metody realizacji i weryfikacji efektów uczenia się</w:t>
      </w:r>
    </w:p>
    <w:tbl>
      <w:tblPr>
        <w:tblStyle w:val="Tabela-Siatka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91"/>
        <w:gridCol w:w="2658"/>
        <w:gridCol w:w="2772"/>
        <w:gridCol w:w="2540"/>
      </w:tblGrid>
      <w:tr>
        <w:trPr/>
        <w:tc>
          <w:tcPr>
            <w:tcW w:w="109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Symbol efektu</w:t>
            </w:r>
          </w:p>
        </w:tc>
        <w:tc>
          <w:tcPr>
            <w:tcW w:w="265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Metody dydaktyczne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sz w:val="18"/>
                <w:szCs w:val="18"/>
              </w:rPr>
              <w:t>(lista wyboru)</w:t>
            </w:r>
          </w:p>
        </w:tc>
        <w:tc>
          <w:tcPr>
            <w:tcW w:w="277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Metody weryfikacji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sz w:val="18"/>
                <w:szCs w:val="18"/>
              </w:rPr>
              <w:t>(lista wyboru)</w:t>
            </w:r>
          </w:p>
        </w:tc>
        <w:tc>
          <w:tcPr>
            <w:tcW w:w="254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Sposoby dokumentacji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sz w:val="18"/>
                <w:szCs w:val="18"/>
              </w:rPr>
              <w:t>(lista wyboru)</w:t>
            </w:r>
          </w:p>
        </w:tc>
      </w:tr>
      <w:tr>
        <w:trPr/>
        <w:tc>
          <w:tcPr>
            <w:tcW w:w="9061" w:type="dxa"/>
            <w:gridSpan w:val="4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WIEDZA</w:t>
            </w:r>
          </w:p>
        </w:tc>
      </w:tr>
      <w:tr>
        <w:trPr/>
        <w:tc>
          <w:tcPr>
            <w:tcW w:w="10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W_01 </w:t>
            </w:r>
            <w:r>
              <w:rPr>
                <w:color w:val="00B0F0"/>
              </w:rPr>
              <w:t>– W_05</w:t>
            </w:r>
          </w:p>
        </w:tc>
        <w:tc>
          <w:tcPr>
            <w:tcW w:w="2658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rPr>
                <w:color w:val="00B0F0"/>
              </w:rPr>
            </w:pPr>
            <w:r>
              <w:rPr>
                <w:bCs/>
                <w:color w:val="00B0F0"/>
                <w:sz w:val="22"/>
                <w:szCs w:val="22"/>
              </w:rPr>
              <w:t xml:space="preserve">Wykład konwencjonalny </w:t>
            </w:r>
          </w:p>
        </w:tc>
        <w:tc>
          <w:tcPr>
            <w:tcW w:w="27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B0F0"/>
              </w:rPr>
            </w:pPr>
            <w:r>
              <w:rPr>
                <w:color w:val="00B0F0"/>
              </w:rPr>
              <w:t>Egzamin pisemny</w:t>
            </w:r>
          </w:p>
        </w:tc>
        <w:tc>
          <w:tcPr>
            <w:tcW w:w="25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B0F0"/>
              </w:rPr>
            </w:pPr>
            <w:r>
              <w:rPr>
                <w:color w:val="00B0F0"/>
              </w:rPr>
              <w:t>Protokół egzaminu, karty egzaminacyjne</w:t>
            </w:r>
          </w:p>
        </w:tc>
      </w:tr>
      <w:tr>
        <w:trPr/>
        <w:tc>
          <w:tcPr>
            <w:tcW w:w="9061" w:type="dxa"/>
            <w:gridSpan w:val="4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UMIEJĘTNOŚCI</w:t>
            </w:r>
          </w:p>
        </w:tc>
      </w:tr>
      <w:tr>
        <w:trPr/>
        <w:tc>
          <w:tcPr>
            <w:tcW w:w="10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U_01 – U_03</w:t>
            </w:r>
          </w:p>
        </w:tc>
        <w:tc>
          <w:tcPr>
            <w:tcW w:w="2658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rPr>
                <w:bCs/>
                <w:color w:val="00B0F0"/>
                <w:sz w:val="22"/>
                <w:szCs w:val="22"/>
              </w:rPr>
            </w:pPr>
            <w:r>
              <w:rPr>
                <w:bCs/>
                <w:color w:val="00B0F0"/>
                <w:sz w:val="22"/>
                <w:szCs w:val="22"/>
              </w:rPr>
              <w:t xml:space="preserve">Wykład problemowy </w:t>
            </w:r>
          </w:p>
        </w:tc>
        <w:tc>
          <w:tcPr>
            <w:tcW w:w="27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B0F0"/>
              </w:rPr>
            </w:pPr>
            <w:r>
              <w:rPr>
                <w:color w:val="00B0F0"/>
              </w:rPr>
              <w:t>Egzamin pisemny</w:t>
            </w:r>
          </w:p>
        </w:tc>
        <w:tc>
          <w:tcPr>
            <w:tcW w:w="25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B0F0"/>
              </w:rPr>
            </w:pPr>
            <w:r>
              <w:rPr>
                <w:color w:val="00B0F0"/>
              </w:rPr>
              <w:t>Protokół egzaminu, karty egzaminacyjne</w:t>
            </w:r>
          </w:p>
        </w:tc>
      </w:tr>
      <w:tr>
        <w:trPr/>
        <w:tc>
          <w:tcPr>
            <w:tcW w:w="9061" w:type="dxa"/>
            <w:gridSpan w:val="4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KOMPETENCJE SPOŁECZNE</w:t>
            </w:r>
          </w:p>
        </w:tc>
      </w:tr>
      <w:tr>
        <w:trPr/>
        <w:tc>
          <w:tcPr>
            <w:tcW w:w="10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K_01 – K_04</w:t>
            </w:r>
          </w:p>
        </w:tc>
        <w:tc>
          <w:tcPr>
            <w:tcW w:w="2658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rPr>
                <w:bCs/>
                <w:color w:val="00B0F0"/>
                <w:sz w:val="22"/>
                <w:szCs w:val="22"/>
              </w:rPr>
            </w:pPr>
            <w:r>
              <w:rPr>
                <w:bCs/>
                <w:color w:val="00B0F0"/>
                <w:sz w:val="22"/>
                <w:szCs w:val="22"/>
              </w:rPr>
              <w:t xml:space="preserve">Wykład problemowy </w:t>
            </w:r>
          </w:p>
        </w:tc>
        <w:tc>
          <w:tcPr>
            <w:tcW w:w="27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B0F0"/>
              </w:rPr>
            </w:pPr>
            <w:r>
              <w:rPr>
                <w:color w:val="00B0F0"/>
              </w:rPr>
              <w:t>Egzamin pisemny</w:t>
            </w:r>
          </w:p>
        </w:tc>
        <w:tc>
          <w:tcPr>
            <w:tcW w:w="25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B0F0"/>
              </w:rPr>
            </w:pPr>
            <w:r>
              <w:rPr>
                <w:color w:val="00B0F0"/>
              </w:rPr>
              <w:t>Protokół egzaminu, karty egzaminacyjne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ListParagraph"/>
        <w:ind w:left="1080" w:hanging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Kryteria oceny, wagi…</w:t>
      </w:r>
    </w:p>
    <w:p>
      <w:pPr>
        <w:pStyle w:val="Normal"/>
        <w:spacing w:before="0" w:after="0"/>
        <w:jc w:val="both"/>
        <w:rPr/>
      </w:pPr>
      <w:r>
        <w:rPr/>
        <w:t>Prowadzący podaje Studentom tezy egzaminacyjne do każdego z przeprowadzonych wykładów.</w:t>
      </w:r>
    </w:p>
    <w:p>
      <w:pPr>
        <w:pStyle w:val="Normal"/>
        <w:spacing w:before="0" w:after="0"/>
        <w:jc w:val="both"/>
        <w:rPr>
          <w:color w:val="00B0F0"/>
        </w:rPr>
      </w:pPr>
      <w:r>
        <w:rPr>
          <w:color w:val="00B0F0"/>
          <w:u w:val="single"/>
        </w:rPr>
        <w:t>Kryteria</w:t>
      </w:r>
      <w:r>
        <w:rPr>
          <w:color w:val="00B0F0"/>
        </w:rPr>
        <w:t>:</w:t>
      </w:r>
    </w:p>
    <w:p>
      <w:pPr>
        <w:pStyle w:val="Normal"/>
        <w:spacing w:before="0" w:after="0"/>
        <w:jc w:val="both"/>
        <w:rPr/>
      </w:pPr>
      <w:r>
        <w:rPr/>
        <w:t>Ocena niedostateczna</w:t>
      </w:r>
    </w:p>
    <w:p>
      <w:pPr>
        <w:pStyle w:val="Normal"/>
        <w:spacing w:before="0" w:after="0"/>
        <w:jc w:val="both"/>
        <w:rPr/>
      </w:pPr>
      <w:r>
        <w:rPr/>
        <w:t>(W) Student nie posiada podstawowej wiedzy z zakresu katolickiej nauki społecznej</w:t>
      </w:r>
    </w:p>
    <w:p>
      <w:pPr>
        <w:pStyle w:val="Normal"/>
        <w:spacing w:before="0" w:after="0"/>
        <w:jc w:val="both"/>
        <w:rPr/>
      </w:pPr>
      <w:r>
        <w:rPr/>
        <w:t>(U) Student nie potrafi posługiwać się tekstami źródłowymi z zakresu katolickiej nauki społecznej; nie jest w stanie identyfikować stanowiska KNS na tle innych alternatywnych stanowisk</w:t>
      </w:r>
    </w:p>
    <w:p>
      <w:pPr>
        <w:pStyle w:val="Normal"/>
        <w:spacing w:before="0" w:after="0"/>
        <w:jc w:val="both"/>
        <w:rPr/>
      </w:pPr>
      <w:r>
        <w:rPr/>
        <w:t>(K) Student nie angażuje się w proces nauki w sposób dostateczny i nie zdaje sobie sprawy z konieczności ustawicznego zdobywania wiedzy</w:t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jc w:val="both"/>
        <w:rPr/>
      </w:pPr>
      <w:r>
        <w:rPr/>
        <w:t>Ocena dostateczna</w:t>
      </w:r>
    </w:p>
    <w:p>
      <w:pPr>
        <w:pStyle w:val="Normal"/>
        <w:spacing w:before="0" w:after="0"/>
        <w:jc w:val="both"/>
        <w:rPr/>
      </w:pPr>
      <w:r>
        <w:rPr/>
        <w:t>(W) Student posiada dostateczną wiedzę z zakresu katolickiej nauki społecznej, orientuje się co do źródeł, kluczowych wartości i zasad</w:t>
      </w:r>
    </w:p>
    <w:p>
      <w:pPr>
        <w:pStyle w:val="Normal"/>
        <w:spacing w:before="0" w:after="0"/>
        <w:jc w:val="both"/>
        <w:rPr/>
      </w:pPr>
      <w:r>
        <w:rPr/>
        <w:t>(U) Student potrafi w stopniu dostatecznym posługiwać się tekstami źródłowymi z zakresu katolickiej nauki społecznej; jest w stanie identyfikować stanowiska KNS na tle innych alternatywnych stanowisk</w:t>
      </w:r>
    </w:p>
    <w:p>
      <w:pPr>
        <w:pStyle w:val="Normal"/>
        <w:spacing w:before="0" w:after="0"/>
        <w:jc w:val="both"/>
        <w:rPr/>
      </w:pPr>
      <w:r>
        <w:rPr/>
        <w:t>(K) Student angażuje się w proces nauki w sposób dostateczny, ale nie zdaje sobie sprawy z konieczności ustawicznego zdobywania wiedzy</w:t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jc w:val="both"/>
        <w:rPr/>
      </w:pPr>
      <w:r>
        <w:rPr/>
        <w:t>Ocena dobra</w:t>
      </w:r>
    </w:p>
    <w:p>
      <w:pPr>
        <w:pStyle w:val="Normal"/>
        <w:spacing w:before="0" w:after="0"/>
        <w:jc w:val="both"/>
        <w:rPr/>
      </w:pPr>
      <w:r>
        <w:rPr/>
        <w:t>(W) Student posiada wiedzę z zakresu źródeł, zasad i wartości katolickiej nauki społecznej</w:t>
      </w:r>
    </w:p>
    <w:p>
      <w:pPr>
        <w:pStyle w:val="Normal"/>
        <w:spacing w:before="0" w:after="0"/>
        <w:jc w:val="both"/>
        <w:rPr/>
      </w:pPr>
      <w:r>
        <w:rPr/>
        <w:t>(U) Student jest w stanie poprawnie argumentować; rozumie ponadkontekstualny charakter zasad i wartości personalizmu chrześcijańskiego, umiejętnie rozgranicza stanowiska katolickiej nauki społecznej w kwestiach społecznych i gospodarczych od innych stanowisk alternatywnych</w:t>
      </w:r>
    </w:p>
    <w:p>
      <w:pPr>
        <w:pStyle w:val="Normal"/>
        <w:spacing w:before="0" w:after="0"/>
        <w:jc w:val="both"/>
        <w:rPr/>
      </w:pPr>
      <w:r>
        <w:rPr/>
        <w:t>(K) Student angażuje się w proces nauki, ma świadomość konieczności ciągłego uczenia się, jest w stanie wykorzystać zdobytą orientację z zakresu katolickiej nauki społecznej na różnych polach działalności społecznej</w:t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jc w:val="both"/>
        <w:rPr/>
      </w:pPr>
      <w:r>
        <w:rPr/>
        <w:t>Ocena bardzo dobra</w:t>
      </w:r>
    </w:p>
    <w:p>
      <w:pPr>
        <w:pStyle w:val="Normal"/>
        <w:spacing w:before="0" w:after="0"/>
        <w:jc w:val="both"/>
        <w:rPr/>
      </w:pPr>
      <w:r>
        <w:rPr/>
        <w:t>(W) Student posiada szeroką wiedzę z zakresu źródeł, zasad i wartości katolickiej nauki społecznej</w:t>
      </w:r>
    </w:p>
    <w:p>
      <w:pPr>
        <w:pStyle w:val="Normal"/>
        <w:spacing w:before="0" w:after="0"/>
        <w:jc w:val="both"/>
        <w:rPr/>
      </w:pPr>
      <w:r>
        <w:rPr/>
        <w:t>(U) Student jest w stanie samodzielnie argumentować. Potrafi sformułować problem i wskazać jego rozwiązanie. Jest w stanie precyzyjnie odróżnić stanowisko katolickiej nauki społecznej w kluczowych kwestiach społecznych od innych alternatywnych stanowisk. Samodzielnie i poprawnie posługuje się źródłami, zna kontekst ich powstania. Potrafi łączyć treść encyklik społecznych z dorobkiem społecznej myśli chrześcijańskiej; potrafi właściwie uzasadniać zajmowane przez siebie stanowisko w kwestiach społecznych.</w:t>
      </w:r>
    </w:p>
    <w:p>
      <w:pPr>
        <w:pStyle w:val="Normal"/>
        <w:spacing w:before="0" w:after="0"/>
        <w:jc w:val="both"/>
        <w:rPr/>
      </w:pPr>
      <w:r>
        <w:rPr/>
        <w:t>(K) Student angażuje się w proces nauki; ma świadomość konieczności ciągłego podnoszenia swych kompetencji; wykazuje się tolerancją i otwartością na dialog; posiada własne zdanie w kluczowych kwestiach, które potrafi właściwie uzasadniać.</w:t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rPr>
          <w:b/>
          <w:b/>
        </w:rPr>
      </w:pPr>
      <w:r>
        <w:rPr>
          <w:b/>
        </w:rPr>
        <w:t>W przypadku egzaminu pisemnego:</w:t>
      </w:r>
    </w:p>
    <w:p>
      <w:pPr>
        <w:pStyle w:val="Normal"/>
        <w:spacing w:before="0" w:after="0"/>
        <w:rPr/>
      </w:pPr>
      <w:r>
        <w:rPr/>
        <w:t>Test egzaminacyjny (max. 15 pkt):</w:t>
      </w:r>
    </w:p>
    <w:p>
      <w:pPr>
        <w:pStyle w:val="Normal"/>
        <w:spacing w:before="0" w:after="0"/>
        <w:rPr/>
      </w:pPr>
      <w:r>
        <w:rPr/>
        <w:t>pkt. 15-14 - ocena 5.0</w:t>
      </w:r>
    </w:p>
    <w:p>
      <w:pPr>
        <w:pStyle w:val="Normal"/>
        <w:spacing w:before="0" w:after="0"/>
        <w:rPr/>
      </w:pPr>
      <w:r>
        <w:rPr/>
        <w:t>pkt.13-12 - ocena 4,5</w:t>
      </w:r>
    </w:p>
    <w:p>
      <w:pPr>
        <w:pStyle w:val="Normal"/>
        <w:spacing w:before="0" w:after="0"/>
        <w:rPr/>
      </w:pPr>
      <w:r>
        <w:rPr/>
        <w:t>pkt. 11-10 - ocena 4,0</w:t>
      </w:r>
    </w:p>
    <w:p>
      <w:pPr>
        <w:pStyle w:val="Normal"/>
        <w:spacing w:before="0" w:after="0"/>
        <w:rPr/>
      </w:pPr>
      <w:r>
        <w:rPr/>
        <w:t>pkt. 9-8 - ocena 3,5</w:t>
      </w:r>
    </w:p>
    <w:p>
      <w:pPr>
        <w:pStyle w:val="Normal"/>
        <w:spacing w:before="0" w:after="0"/>
        <w:rPr/>
      </w:pPr>
      <w:r>
        <w:rPr/>
        <w:t>pkt. 7 - ocena 3,0</w:t>
      </w:r>
    </w:p>
    <w:p>
      <w:pPr>
        <w:pStyle w:val="Normal"/>
        <w:spacing w:before="0" w:after="0"/>
        <w:rPr/>
      </w:pPr>
      <w:r>
        <w:rPr/>
        <w:t>pkt. 6-0 - ocena 2,0</w:t>
      </w:r>
    </w:p>
    <w:p>
      <w:pPr>
        <w:pStyle w:val="Normal"/>
        <w:spacing w:before="0" w:after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Obciążenie pracą studenta</w:t>
      </w:r>
    </w:p>
    <w:tbl>
      <w:tblPr>
        <w:tblStyle w:val="Tabela-Siatka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8"/>
        <w:gridCol w:w="4523"/>
      </w:tblGrid>
      <w:tr>
        <w:trPr/>
        <w:tc>
          <w:tcPr>
            <w:tcW w:w="45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Forma aktywności studenta</w:t>
            </w:r>
          </w:p>
        </w:tc>
        <w:tc>
          <w:tcPr>
            <w:tcW w:w="45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Liczba godzin</w:t>
            </w:r>
          </w:p>
        </w:tc>
      </w:tr>
      <w:tr>
        <w:trPr/>
        <w:tc>
          <w:tcPr>
            <w:tcW w:w="45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Liczba godzin kontaktowych z nauczycielem </w:t>
            </w:r>
          </w:p>
          <w:p>
            <w:pPr>
              <w:pStyle w:val="Normal"/>
              <w:spacing w:lineRule="auto" w:line="240" w:before="0" w:after="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</w:tc>
        <w:tc>
          <w:tcPr>
            <w:tcW w:w="45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30</w:t>
            </w:r>
          </w:p>
        </w:tc>
      </w:tr>
      <w:tr>
        <w:trPr/>
        <w:tc>
          <w:tcPr>
            <w:tcW w:w="45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Liczba godzin indywidualnej pracy studenta</w:t>
            </w:r>
          </w:p>
          <w:p>
            <w:pPr>
              <w:pStyle w:val="Normal"/>
              <w:spacing w:lineRule="auto" w:line="240" w:before="0" w:after="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</w:tc>
        <w:tc>
          <w:tcPr>
            <w:tcW w:w="45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30</w:t>
            </w:r>
          </w:p>
        </w:tc>
      </w:tr>
    </w:tbl>
    <w:p>
      <w:pPr>
        <w:pStyle w:val="Normal"/>
        <w:spacing w:before="0" w:after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Literatura</w:t>
      </w:r>
    </w:p>
    <w:tbl>
      <w:tblPr>
        <w:tblStyle w:val="Tabela-Siatka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Literatura podstawowa</w:t>
            </w:r>
          </w:p>
        </w:tc>
      </w:tr>
      <w:tr>
        <w:trPr/>
        <w:tc>
          <w:tcPr>
            <w:tcW w:w="90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 xml:space="preserve">Katolicka nauka społeczna. Podstawowe zagadnienia z życia społecznego i politycznego, S. Fel, J. Kupny (red.), Księgarnia św. Jacka, Katowice 2007; 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 xml:space="preserve">Katolicka nauka społeczna. Podstawowe zagadnienia z życia gospodarczego, J. Kupny, S Fel (red.), Księgarnia św. Jacka, Katowice 2003; 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Cz. Strzeszewski, Katolicka nauka społeczna, RW KUL, Lublin 1994.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S. Fel, Ł. Marczak, Powstanie i status zasady zrównoważonego rozwoju, „Roczniki Nauk Społecznych” 2016, nr 2, s. 185-205.</w:t>
            </w:r>
          </w:p>
        </w:tc>
      </w:tr>
      <w:tr>
        <w:trPr/>
        <w:tc>
          <w:tcPr>
            <w:tcW w:w="90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Literatura uzupełniająca</w:t>
            </w:r>
          </w:p>
        </w:tc>
      </w:tr>
      <w:tr>
        <w:trPr/>
        <w:tc>
          <w:tcPr>
            <w:tcW w:w="90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 xml:space="preserve">M. Hułas, Ujarzmiony kapitał: praca- kapitał według Oswalda von Nell-Breuninga, KUL, Lublin 2011; 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 xml:space="preserve">F.J. Mazurek, Godność osoby ludzkiej podstawą praw człowieka, Wydawnictwo KUL, Lublin 2001; 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M. Hułas, Wobec moralności kamieni. Franciszka Mazurka polemika z liberalizmem, w: S. Fel, M. Wódka (red.), Godność osoby ludzkiej w społeczeństwie i gospodarce. Księga pamiątkowa ku czci ś.p. Księdza Profesora Franciszka Mazurka, KUL, Lublin 2014, s. 51-82;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 xml:space="preserve">M. Wódka, Między moralnością kamieni a prawami człowieka: Franciszka Janusza Mazurka koncepcja katolickiej nauki społecznej, KUL, Lublin 2015. 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 xml:space="preserve">Dokumenty nauki społecznej Kościoła, Radwan M. i in. (red.), t. 1-2, RW KUL, Rzym-Lublin 1996;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lang w:val="de-DE"/>
              </w:rPr>
            </w:pPr>
            <w:r>
              <w:rPr>
                <w:lang w:val="de-DE"/>
              </w:rPr>
              <w:t>O. von Nell-Breuning, Gerechtigkeit und Freiheit. Grundzuege katholischer Soziallehre, Olzog, Muenchen 1985.</w:t>
            </w:r>
          </w:p>
        </w:tc>
      </w:tr>
    </w:tbl>
    <w:p>
      <w:pPr>
        <w:pStyle w:val="Normal"/>
        <w:spacing w:before="0" w:after="0"/>
        <w:rPr>
          <w:b/>
          <w:b/>
          <w:lang w:val="de-DE"/>
        </w:rPr>
      </w:pPr>
      <w:r>
        <w:rPr>
          <w:b/>
          <w:lang w:val="de-DE"/>
        </w:rPr>
      </w:r>
    </w:p>
    <w:p>
      <w:pPr>
        <w:pStyle w:val="Normal"/>
        <w:spacing w:before="0" w:after="200"/>
        <w:rPr/>
      </w:pPr>
      <w:r>
        <w:rPr/>
      </w:r>
    </w:p>
    <w:sectPr>
      <w:headerReference w:type="default" r:id="rId2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right"/>
      <w:rPr>
        <w:i/>
        <w:i/>
      </w:rPr>
    </w:pPr>
    <w:r>
      <w:rPr>
        <w:i/>
      </w:rPr>
      <w:t>Załącznik nr 5 do dokumentacji programowej</w:t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6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f2296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abulatory" w:customStyle="1">
    <w:name w:val="tabulatory"/>
    <w:basedOn w:val="DefaultParagraphFont"/>
    <w:qFormat/>
    <w:rsid w:val="00d406f6"/>
    <w:rPr/>
  </w:style>
  <w:style w:type="character" w:styleId="Czeinternetowe">
    <w:name w:val="Łącze internetowe"/>
    <w:basedOn w:val="DefaultParagraphFont"/>
    <w:uiPriority w:val="99"/>
    <w:unhideWhenUsed/>
    <w:rsid w:val="00d406f6"/>
    <w:rPr>
      <w:color w:val="0000FF"/>
      <w:u w:val="single"/>
    </w:rPr>
  </w:style>
  <w:style w:type="character" w:styleId="Access" w:customStyle="1">
    <w:name w:val="access"/>
    <w:basedOn w:val="DefaultParagraphFont"/>
    <w:qFormat/>
    <w:rsid w:val="003c65da"/>
    <w:rPr/>
  </w:style>
  <w:style w:type="character" w:styleId="Luchili" w:customStyle="1">
    <w:name w:val="luc_hili"/>
    <w:basedOn w:val="DefaultParagraphFont"/>
    <w:qFormat/>
    <w:rsid w:val="001a5d37"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b04272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b04272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b04272"/>
    <w:rPr>
      <w:rFonts w:ascii="Tahoma" w:hAnsi="Tahoma" w:cs="Tahoma"/>
      <w:sz w:val="16"/>
      <w:szCs w:val="16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387691"/>
    <w:rPr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387691"/>
    <w:rPr>
      <w:vertAlign w:val="superscript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Western" w:customStyle="1">
    <w:name w:val="western"/>
    <w:basedOn w:val="Normal"/>
    <w:qFormat/>
    <w:rsid w:val="007d0038"/>
    <w:pPr>
      <w:spacing w:lineRule="atLeast" w:line="102" w:beforeAutospacing="1" w:after="119"/>
    </w:pPr>
    <w:rPr>
      <w:rFonts w:ascii="Times New Roman" w:hAnsi="Times New Roman" w:eastAsia="Times New Roman" w:cs="Times New Roman"/>
      <w:color w:val="000000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7d0038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d27ddc"/>
    <w:pPr>
      <w:spacing w:lineRule="auto" w:line="240" w:beforeAutospacing="1" w:after="119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Default" w:customStyle="1">
    <w:name w:val="Default"/>
    <w:qFormat/>
    <w:rsid w:val="007841b3"/>
    <w:pPr>
      <w:widowControl/>
      <w:bidi w:val="0"/>
      <w:spacing w:lineRule="auto" w:line="240" w:before="0" w:after="0"/>
      <w:jc w:val="left"/>
    </w:pPr>
    <w:rPr>
      <w:rFonts w:ascii="Arial" w:hAnsi="Arial" w:eastAsia="Calibri" w:cs="Arial"/>
      <w:color w:val="000000"/>
      <w:kern w:val="0"/>
      <w:sz w:val="24"/>
      <w:szCs w:val="24"/>
      <w:lang w:val="pl-PL" w:eastAsia="en-US" w:bidi="ar-SA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b0427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b0427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b0427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387691"/>
    <w:pPr>
      <w:spacing w:lineRule="auto" w:line="240" w:before="0" w:after="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732e4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6FB60-79A4-44C5-A14E-239D68A02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1123</TotalTime>
  <Application>LibreOffice/6.3.4.2$Windows_X86_64 LibreOffice_project/60da17e045e08f1793c57c00ba83cdfce946d0aa</Application>
  <Pages>4</Pages>
  <Words>1151</Words>
  <Characters>7740</Characters>
  <CharactersWithSpaces>8746</CharactersWithSpaces>
  <Paragraphs>159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2019-06-04T14:32:00Z</dcterms:created>
  <dc:creator>Anna Łukasiewicz</dc:creator>
  <dc:description/>
  <dc:language>pl-PL</dc:language>
  <cp:lastModifiedBy/>
  <cp:lastPrinted>2019-01-23T11:10:00Z</cp:lastPrinted>
  <dcterms:modified xsi:type="dcterms:W3CDTF">2020-10-10T12:45:18Z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