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4E" w:rsidRPr="007A584C" w:rsidRDefault="00C6074E" w:rsidP="00642F42">
      <w:pPr>
        <w:tabs>
          <w:tab w:val="center" w:pos="4513"/>
          <w:tab w:val="left" w:pos="6273"/>
        </w:tabs>
        <w:spacing w:after="240"/>
        <w:jc w:val="center"/>
        <w:rPr>
          <w:sz w:val="36"/>
          <w:szCs w:val="20"/>
          <w:lang w:val="pl-PL"/>
        </w:rPr>
      </w:pPr>
      <w:r w:rsidRPr="007A584C">
        <w:rPr>
          <w:sz w:val="36"/>
          <w:szCs w:val="20"/>
          <w:lang w:val="pl-PL"/>
        </w:rPr>
        <w:t>Warsztaty tłumaczeniowe, 23-25 października 2019 r.</w:t>
      </w:r>
    </w:p>
    <w:p w:rsidR="00C6074E" w:rsidRPr="006475E3" w:rsidRDefault="00C6074E" w:rsidP="00642F42">
      <w:pPr>
        <w:tabs>
          <w:tab w:val="center" w:pos="4513"/>
          <w:tab w:val="left" w:pos="6273"/>
        </w:tabs>
        <w:spacing w:after="240"/>
        <w:jc w:val="center"/>
        <w:rPr>
          <w:szCs w:val="20"/>
          <w:lang w:val="pl-PL"/>
        </w:rPr>
      </w:pPr>
      <w:r w:rsidRPr="006475E3">
        <w:rPr>
          <w:szCs w:val="20"/>
          <w:lang w:val="pl-PL"/>
        </w:rPr>
        <w:t>KUL, sala GG-412</w:t>
      </w:r>
    </w:p>
    <w:p w:rsidR="006475E3" w:rsidRDefault="006475E3" w:rsidP="00C6074E">
      <w:pPr>
        <w:tabs>
          <w:tab w:val="center" w:pos="4513"/>
          <w:tab w:val="left" w:pos="6273"/>
        </w:tabs>
        <w:jc w:val="left"/>
        <w:rPr>
          <w:szCs w:val="20"/>
          <w:lang w:val="pl-PL"/>
        </w:rPr>
      </w:pPr>
    </w:p>
    <w:p w:rsidR="006475E3" w:rsidRDefault="006475E3" w:rsidP="00C6074E">
      <w:pPr>
        <w:tabs>
          <w:tab w:val="center" w:pos="4513"/>
          <w:tab w:val="left" w:pos="6273"/>
        </w:tabs>
        <w:jc w:val="left"/>
        <w:rPr>
          <w:szCs w:val="20"/>
          <w:lang w:val="pl-PL"/>
        </w:rPr>
      </w:pPr>
    </w:p>
    <w:p w:rsidR="00C2757F" w:rsidRPr="006475E3" w:rsidRDefault="00C2757F" w:rsidP="006475E3">
      <w:pPr>
        <w:tabs>
          <w:tab w:val="center" w:pos="4513"/>
          <w:tab w:val="left" w:pos="6273"/>
        </w:tabs>
        <w:rPr>
          <w:sz w:val="28"/>
          <w:szCs w:val="20"/>
          <w:lang w:val="pl-PL"/>
        </w:rPr>
      </w:pPr>
      <w:r w:rsidRPr="006475E3">
        <w:rPr>
          <w:sz w:val="28"/>
          <w:szCs w:val="20"/>
          <w:lang w:val="pl-PL"/>
        </w:rPr>
        <w:t xml:space="preserve">Warsztaty poprowadzą </w:t>
      </w:r>
      <w:r w:rsidR="006475E3" w:rsidRPr="006475E3">
        <w:rPr>
          <w:sz w:val="28"/>
          <w:szCs w:val="20"/>
          <w:lang w:val="pl-PL"/>
        </w:rPr>
        <w:t xml:space="preserve">Patrycja Laskowska i Anna Sznurawa, tłumaczki pracujące </w:t>
      </w:r>
      <w:r w:rsidRPr="006475E3">
        <w:rPr>
          <w:sz w:val="28"/>
          <w:szCs w:val="20"/>
          <w:lang w:val="pl-PL"/>
        </w:rPr>
        <w:t xml:space="preserve">w Dziale Tłumaczeń Polskich w Dyrekcji Generalnej ds. </w:t>
      </w:r>
      <w:r w:rsidR="006475E3">
        <w:rPr>
          <w:sz w:val="28"/>
          <w:szCs w:val="20"/>
          <w:lang w:val="pl-PL"/>
        </w:rPr>
        <w:t>Tłumaczeń</w:t>
      </w:r>
      <w:r w:rsidRPr="006475E3">
        <w:rPr>
          <w:sz w:val="28"/>
          <w:szCs w:val="20"/>
          <w:lang w:val="pl-PL"/>
        </w:rPr>
        <w:t xml:space="preserve"> Pisemnych w Parlamencie Europejskim</w:t>
      </w:r>
    </w:p>
    <w:p w:rsidR="00C2757F" w:rsidRDefault="00C2757F" w:rsidP="00C6074E">
      <w:pPr>
        <w:tabs>
          <w:tab w:val="center" w:pos="4513"/>
          <w:tab w:val="left" w:pos="6273"/>
        </w:tabs>
        <w:jc w:val="left"/>
        <w:rPr>
          <w:szCs w:val="20"/>
          <w:lang w:val="pl-PL"/>
        </w:rPr>
      </w:pPr>
    </w:p>
    <w:p w:rsidR="00E51C79" w:rsidRPr="00C6074E" w:rsidRDefault="00E51C79">
      <w:pPr>
        <w:rPr>
          <w:szCs w:val="20"/>
          <w:lang w:val="pl-PL"/>
        </w:rPr>
      </w:pPr>
    </w:p>
    <w:p w:rsidR="00B21866" w:rsidRPr="00C6074E" w:rsidRDefault="00B21866">
      <w:pPr>
        <w:rPr>
          <w:szCs w:val="20"/>
          <w:u w:val="single"/>
          <w:lang w:val="pl-PL"/>
        </w:rPr>
      </w:pPr>
      <w:r w:rsidRPr="00C6074E">
        <w:rPr>
          <w:szCs w:val="20"/>
          <w:u w:val="single"/>
          <w:lang w:val="pl-PL"/>
        </w:rPr>
        <w:t>Środa</w:t>
      </w:r>
      <w:r w:rsidR="00C6074E" w:rsidRPr="00C6074E">
        <w:rPr>
          <w:szCs w:val="20"/>
          <w:u w:val="single"/>
          <w:lang w:val="pl-PL"/>
        </w:rPr>
        <w:t>, 23 października</w:t>
      </w:r>
    </w:p>
    <w:p w:rsidR="00B21866" w:rsidRPr="00C6074E" w:rsidRDefault="00B21866">
      <w:pPr>
        <w:rPr>
          <w:szCs w:val="20"/>
          <w:lang w:val="pl-PL"/>
        </w:rPr>
      </w:pPr>
    </w:p>
    <w:p w:rsidR="008765BE" w:rsidRPr="00C6074E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>9.45-10.00</w:t>
      </w:r>
      <w:r w:rsidRPr="00C6074E">
        <w:rPr>
          <w:szCs w:val="20"/>
          <w:lang w:val="pl-PL"/>
        </w:rPr>
        <w:tab/>
        <w:t>Otwarcie</w:t>
      </w:r>
    </w:p>
    <w:p w:rsidR="00B21866" w:rsidRPr="00C6074E" w:rsidRDefault="00B21866">
      <w:pPr>
        <w:rPr>
          <w:szCs w:val="20"/>
          <w:lang w:val="pl-PL"/>
        </w:rPr>
      </w:pPr>
    </w:p>
    <w:p w:rsidR="00B21866" w:rsidRPr="00C6074E" w:rsidRDefault="00B21866">
      <w:pPr>
        <w:rPr>
          <w:b/>
          <w:szCs w:val="20"/>
          <w:lang w:val="pl-PL"/>
        </w:rPr>
      </w:pPr>
      <w:r w:rsidRPr="00C6074E">
        <w:rPr>
          <w:szCs w:val="20"/>
          <w:lang w:val="pl-PL"/>
        </w:rPr>
        <w:t>10.00-11.00</w:t>
      </w:r>
      <w:r w:rsidRPr="00C6074E">
        <w:rPr>
          <w:szCs w:val="20"/>
          <w:lang w:val="pl-PL"/>
        </w:rPr>
        <w:tab/>
      </w:r>
      <w:r w:rsidRPr="00C6074E">
        <w:rPr>
          <w:b/>
          <w:szCs w:val="20"/>
          <w:lang w:val="pl-PL"/>
        </w:rPr>
        <w:t>Tłumaczenie pisemne w instytucjach UE</w:t>
      </w:r>
    </w:p>
    <w:p w:rsidR="00AF1964" w:rsidRDefault="00B21866" w:rsidP="00B21866">
      <w:pPr>
        <w:ind w:left="720" w:firstLine="720"/>
        <w:rPr>
          <w:szCs w:val="20"/>
          <w:lang w:val="pl-PL"/>
        </w:rPr>
      </w:pPr>
      <w:r w:rsidRPr="00C6074E">
        <w:rPr>
          <w:szCs w:val="20"/>
          <w:lang w:val="pl-PL"/>
        </w:rPr>
        <w:t>Prezentacja</w:t>
      </w:r>
      <w:r w:rsidR="00AF1964">
        <w:rPr>
          <w:szCs w:val="20"/>
          <w:lang w:val="pl-PL"/>
        </w:rPr>
        <w:t xml:space="preserve"> </w:t>
      </w:r>
    </w:p>
    <w:p w:rsidR="00B21866" w:rsidRPr="00C6074E" w:rsidRDefault="00AF1964" w:rsidP="00B21866">
      <w:pPr>
        <w:ind w:left="720" w:firstLine="720"/>
        <w:rPr>
          <w:szCs w:val="20"/>
          <w:lang w:val="pl-PL"/>
        </w:rPr>
      </w:pPr>
      <w:r>
        <w:rPr>
          <w:szCs w:val="20"/>
          <w:lang w:val="pl-PL"/>
        </w:rPr>
        <w:t>(</w:t>
      </w:r>
      <w:r w:rsidRPr="00AF1964">
        <w:rPr>
          <w:szCs w:val="20"/>
          <w:u w:val="single"/>
          <w:lang w:val="pl-PL"/>
        </w:rPr>
        <w:t>dla wszystkich</w:t>
      </w:r>
      <w:r>
        <w:rPr>
          <w:szCs w:val="20"/>
          <w:lang w:val="pl-PL"/>
        </w:rPr>
        <w:t>)</w:t>
      </w:r>
    </w:p>
    <w:p w:rsidR="00B21866" w:rsidRPr="00C6074E" w:rsidRDefault="00B21866">
      <w:pPr>
        <w:rPr>
          <w:szCs w:val="20"/>
          <w:lang w:val="pl-PL"/>
        </w:rPr>
      </w:pPr>
    </w:p>
    <w:p w:rsidR="00B21866" w:rsidRPr="00C6074E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>11.15-12.30</w:t>
      </w:r>
      <w:r w:rsidRPr="00C6074E">
        <w:rPr>
          <w:szCs w:val="20"/>
          <w:lang w:val="pl-PL"/>
        </w:rPr>
        <w:tab/>
      </w:r>
      <w:r w:rsidRPr="00C6074E">
        <w:rPr>
          <w:b/>
          <w:szCs w:val="20"/>
          <w:lang w:val="pl-PL"/>
        </w:rPr>
        <w:t>Czym jest tłumaczenie? Kim powinien być tłumacz?</w:t>
      </w:r>
    </w:p>
    <w:p w:rsidR="00AF1964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ab/>
      </w:r>
      <w:r w:rsidRPr="00C6074E">
        <w:rPr>
          <w:szCs w:val="20"/>
          <w:lang w:val="pl-PL"/>
        </w:rPr>
        <w:tab/>
        <w:t xml:space="preserve">Dyskusja, </w:t>
      </w:r>
      <w:r w:rsidR="00AF1964">
        <w:rPr>
          <w:szCs w:val="20"/>
          <w:lang w:val="pl-PL"/>
        </w:rPr>
        <w:t xml:space="preserve">przykłady, ćwiczenia </w:t>
      </w:r>
    </w:p>
    <w:p w:rsidR="00B21866" w:rsidRPr="00C6074E" w:rsidRDefault="00AF1964" w:rsidP="00AF1964">
      <w:pPr>
        <w:ind w:left="720" w:firstLine="720"/>
        <w:rPr>
          <w:szCs w:val="20"/>
          <w:lang w:val="pl-PL"/>
        </w:rPr>
      </w:pPr>
      <w:r>
        <w:rPr>
          <w:szCs w:val="20"/>
          <w:lang w:val="pl-PL"/>
        </w:rPr>
        <w:t>(</w:t>
      </w:r>
      <w:r w:rsidRPr="00AF1964">
        <w:rPr>
          <w:szCs w:val="20"/>
          <w:u w:val="single"/>
          <w:lang w:val="pl-PL"/>
        </w:rPr>
        <w:t>dla wszystkich</w:t>
      </w:r>
      <w:r>
        <w:rPr>
          <w:szCs w:val="20"/>
          <w:lang w:val="pl-PL"/>
        </w:rPr>
        <w:t>)</w:t>
      </w:r>
    </w:p>
    <w:p w:rsidR="00B21866" w:rsidRPr="00C6074E" w:rsidRDefault="00B21866">
      <w:pPr>
        <w:rPr>
          <w:szCs w:val="20"/>
          <w:lang w:val="pl-PL"/>
        </w:rPr>
      </w:pPr>
    </w:p>
    <w:p w:rsidR="00B21866" w:rsidRPr="00C6074E" w:rsidRDefault="00B21866" w:rsidP="00B21866">
      <w:pPr>
        <w:ind w:left="1440" w:hanging="1440"/>
        <w:rPr>
          <w:szCs w:val="20"/>
          <w:lang w:val="pl-PL"/>
        </w:rPr>
      </w:pPr>
      <w:r w:rsidRPr="00C6074E">
        <w:rPr>
          <w:szCs w:val="20"/>
          <w:lang w:val="pl-PL"/>
        </w:rPr>
        <w:t>14.00-17.00</w:t>
      </w:r>
      <w:r w:rsidRPr="00C6074E">
        <w:rPr>
          <w:szCs w:val="20"/>
          <w:lang w:val="pl-PL"/>
        </w:rPr>
        <w:tab/>
      </w:r>
      <w:r w:rsidR="00941D06" w:rsidRPr="00C6074E">
        <w:rPr>
          <w:b/>
          <w:szCs w:val="20"/>
          <w:lang w:val="pl-PL"/>
        </w:rPr>
        <w:t>Nad</w:t>
      </w:r>
      <w:r w:rsidRPr="00C6074E">
        <w:rPr>
          <w:b/>
          <w:szCs w:val="20"/>
          <w:lang w:val="pl-PL"/>
        </w:rPr>
        <w:t xml:space="preserve"> zapisaną kartką, czyli strategie tłumaczeniowe</w:t>
      </w:r>
    </w:p>
    <w:p w:rsidR="00AF1964" w:rsidRDefault="00B21866" w:rsidP="00B21866">
      <w:pPr>
        <w:ind w:left="1440"/>
        <w:rPr>
          <w:szCs w:val="20"/>
          <w:lang w:val="pl-PL"/>
        </w:rPr>
      </w:pPr>
      <w:r w:rsidRPr="00C6074E">
        <w:rPr>
          <w:szCs w:val="20"/>
          <w:lang w:val="pl-PL"/>
        </w:rPr>
        <w:t>Analiza tłumaczeń przygotowanych wcześniej przez studentów</w:t>
      </w:r>
      <w:r w:rsidR="00AF1964">
        <w:rPr>
          <w:szCs w:val="20"/>
          <w:lang w:val="pl-PL"/>
        </w:rPr>
        <w:t xml:space="preserve"> </w:t>
      </w:r>
    </w:p>
    <w:p w:rsidR="00B21866" w:rsidRPr="00C6074E" w:rsidRDefault="00AF1964" w:rsidP="00B21866">
      <w:pPr>
        <w:ind w:left="1440"/>
        <w:rPr>
          <w:szCs w:val="20"/>
          <w:lang w:val="pl-PL"/>
        </w:rPr>
      </w:pPr>
      <w:r>
        <w:rPr>
          <w:szCs w:val="20"/>
          <w:lang w:val="pl-PL"/>
        </w:rPr>
        <w:t>(</w:t>
      </w:r>
      <w:r w:rsidRPr="00AF1964">
        <w:rPr>
          <w:szCs w:val="20"/>
          <w:u w:val="single"/>
          <w:lang w:val="pl-PL"/>
        </w:rPr>
        <w:t>dla studentów</w:t>
      </w:r>
      <w:r>
        <w:rPr>
          <w:szCs w:val="20"/>
          <w:lang w:val="pl-PL"/>
        </w:rPr>
        <w:t>)</w:t>
      </w:r>
    </w:p>
    <w:p w:rsidR="00B21866" w:rsidRDefault="00B21866">
      <w:pPr>
        <w:rPr>
          <w:szCs w:val="20"/>
          <w:lang w:val="pl-PL"/>
        </w:rPr>
      </w:pPr>
    </w:p>
    <w:p w:rsidR="00C6074E" w:rsidRPr="00C6074E" w:rsidRDefault="00C6074E">
      <w:pPr>
        <w:rPr>
          <w:szCs w:val="20"/>
          <w:lang w:val="pl-PL"/>
        </w:rPr>
      </w:pPr>
    </w:p>
    <w:p w:rsidR="00B21866" w:rsidRPr="00C6074E" w:rsidRDefault="00B21866">
      <w:pPr>
        <w:rPr>
          <w:szCs w:val="20"/>
          <w:u w:val="single"/>
          <w:lang w:val="pl-PL"/>
        </w:rPr>
      </w:pPr>
      <w:r w:rsidRPr="00C6074E">
        <w:rPr>
          <w:szCs w:val="20"/>
          <w:u w:val="single"/>
          <w:lang w:val="pl-PL"/>
        </w:rPr>
        <w:t>Czwartek</w:t>
      </w:r>
      <w:r w:rsidR="00C6074E" w:rsidRPr="00C6074E">
        <w:rPr>
          <w:szCs w:val="20"/>
          <w:u w:val="single"/>
          <w:lang w:val="pl-PL"/>
        </w:rPr>
        <w:t>, 24 października</w:t>
      </w:r>
    </w:p>
    <w:p w:rsidR="00B21866" w:rsidRPr="00C6074E" w:rsidRDefault="00B21866">
      <w:pPr>
        <w:rPr>
          <w:szCs w:val="20"/>
          <w:lang w:val="pl-PL"/>
        </w:rPr>
      </w:pPr>
    </w:p>
    <w:p w:rsidR="00B21866" w:rsidRPr="00C6074E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>10.00-13.00</w:t>
      </w:r>
      <w:r w:rsidRPr="00C6074E">
        <w:rPr>
          <w:szCs w:val="20"/>
          <w:lang w:val="pl-PL"/>
        </w:rPr>
        <w:tab/>
      </w:r>
      <w:r w:rsidRPr="00C6074E">
        <w:rPr>
          <w:b/>
          <w:szCs w:val="20"/>
          <w:lang w:val="pl-PL"/>
        </w:rPr>
        <w:t>Jedność w różnorodności. Czy zawsze tłumaczymy tak samo?</w:t>
      </w:r>
    </w:p>
    <w:p w:rsidR="00AF1964" w:rsidRDefault="00B21866" w:rsidP="00AF1964">
      <w:pPr>
        <w:ind w:left="1440"/>
        <w:rPr>
          <w:szCs w:val="20"/>
          <w:lang w:val="pl-PL"/>
        </w:rPr>
      </w:pPr>
      <w:r w:rsidRPr="00C6074E">
        <w:rPr>
          <w:szCs w:val="20"/>
          <w:lang w:val="pl-PL"/>
        </w:rPr>
        <w:t xml:space="preserve">Dyskusja, </w:t>
      </w:r>
      <w:r w:rsidR="00AF1964">
        <w:rPr>
          <w:szCs w:val="20"/>
          <w:lang w:val="pl-PL"/>
        </w:rPr>
        <w:t xml:space="preserve">ćwiczenia praktyczne </w:t>
      </w:r>
    </w:p>
    <w:p w:rsidR="00AF1964" w:rsidRPr="00C6074E" w:rsidRDefault="00AF1964" w:rsidP="00AF1964">
      <w:pPr>
        <w:ind w:left="1440"/>
        <w:rPr>
          <w:szCs w:val="20"/>
          <w:lang w:val="pl-PL"/>
        </w:rPr>
      </w:pPr>
      <w:r>
        <w:rPr>
          <w:szCs w:val="20"/>
          <w:lang w:val="pl-PL"/>
        </w:rPr>
        <w:t>(</w:t>
      </w:r>
      <w:r w:rsidRPr="00AF1964">
        <w:rPr>
          <w:szCs w:val="20"/>
          <w:u w:val="single"/>
          <w:lang w:val="pl-PL"/>
        </w:rPr>
        <w:t>dla studentów</w:t>
      </w:r>
      <w:r>
        <w:rPr>
          <w:szCs w:val="20"/>
          <w:lang w:val="pl-PL"/>
        </w:rPr>
        <w:t>)</w:t>
      </w:r>
    </w:p>
    <w:p w:rsidR="00B21866" w:rsidRPr="00C6074E" w:rsidRDefault="00B21866">
      <w:pPr>
        <w:rPr>
          <w:szCs w:val="20"/>
          <w:lang w:val="pl-PL"/>
        </w:rPr>
      </w:pPr>
    </w:p>
    <w:p w:rsidR="00B21866" w:rsidRPr="00C6074E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>14.00-17.00</w:t>
      </w:r>
      <w:r w:rsidRPr="00C6074E">
        <w:rPr>
          <w:szCs w:val="20"/>
          <w:lang w:val="pl-PL"/>
        </w:rPr>
        <w:tab/>
      </w:r>
      <w:r w:rsidRPr="00C6074E">
        <w:rPr>
          <w:b/>
          <w:szCs w:val="20"/>
          <w:lang w:val="pl-PL"/>
        </w:rPr>
        <w:t>Druga para oczu, czyli o korekcie</w:t>
      </w:r>
    </w:p>
    <w:p w:rsidR="00AF1964" w:rsidRDefault="00B21866" w:rsidP="00AF1964">
      <w:pPr>
        <w:ind w:left="1440"/>
        <w:rPr>
          <w:szCs w:val="20"/>
          <w:lang w:val="pl-PL"/>
        </w:rPr>
      </w:pPr>
      <w:r w:rsidRPr="00C6074E">
        <w:rPr>
          <w:szCs w:val="20"/>
          <w:lang w:val="pl-PL"/>
        </w:rPr>
        <w:t>Wprowadzenie z elementa</w:t>
      </w:r>
      <w:r w:rsidR="00AF1964">
        <w:rPr>
          <w:szCs w:val="20"/>
          <w:lang w:val="pl-PL"/>
        </w:rPr>
        <w:t xml:space="preserve">mi teorii, dyskusja, ćwiczenia </w:t>
      </w:r>
    </w:p>
    <w:p w:rsidR="00AF1964" w:rsidRPr="00C6074E" w:rsidRDefault="00AF1964" w:rsidP="00AF1964">
      <w:pPr>
        <w:ind w:left="1440"/>
        <w:rPr>
          <w:szCs w:val="20"/>
          <w:lang w:val="pl-PL"/>
        </w:rPr>
      </w:pPr>
      <w:r>
        <w:rPr>
          <w:szCs w:val="20"/>
          <w:lang w:val="pl-PL"/>
        </w:rPr>
        <w:t>(</w:t>
      </w:r>
      <w:r w:rsidRPr="00AF1964">
        <w:rPr>
          <w:szCs w:val="20"/>
          <w:u w:val="single"/>
          <w:lang w:val="pl-PL"/>
        </w:rPr>
        <w:t>dla studentów</w:t>
      </w:r>
      <w:r w:rsidR="00490036">
        <w:rPr>
          <w:szCs w:val="20"/>
          <w:u w:val="single"/>
          <w:lang w:val="pl-PL"/>
        </w:rPr>
        <w:t xml:space="preserve"> oraz </w:t>
      </w:r>
      <w:r>
        <w:rPr>
          <w:szCs w:val="20"/>
          <w:u w:val="single"/>
          <w:lang w:val="pl-PL"/>
        </w:rPr>
        <w:t>pracowników prowadzących zajęcia z tłumaczenia</w:t>
      </w:r>
      <w:r>
        <w:rPr>
          <w:szCs w:val="20"/>
          <w:lang w:val="pl-PL"/>
        </w:rPr>
        <w:t>)</w:t>
      </w:r>
    </w:p>
    <w:p w:rsidR="00B21866" w:rsidRPr="00C6074E" w:rsidRDefault="00B21866">
      <w:pPr>
        <w:rPr>
          <w:szCs w:val="20"/>
          <w:lang w:val="pl-PL"/>
        </w:rPr>
      </w:pPr>
    </w:p>
    <w:p w:rsidR="00C6074E" w:rsidRPr="00C6074E" w:rsidRDefault="00C6074E">
      <w:pPr>
        <w:rPr>
          <w:szCs w:val="20"/>
          <w:lang w:val="pl-PL"/>
        </w:rPr>
      </w:pPr>
    </w:p>
    <w:p w:rsidR="00B21866" w:rsidRPr="00C6074E" w:rsidRDefault="00B21866">
      <w:pPr>
        <w:rPr>
          <w:szCs w:val="20"/>
          <w:u w:val="single"/>
          <w:lang w:val="pl-PL"/>
        </w:rPr>
      </w:pPr>
      <w:r w:rsidRPr="00C6074E">
        <w:rPr>
          <w:szCs w:val="20"/>
          <w:u w:val="single"/>
          <w:lang w:val="pl-PL"/>
        </w:rPr>
        <w:t>Piątek</w:t>
      </w:r>
      <w:r w:rsidR="00C6074E" w:rsidRPr="00C6074E">
        <w:rPr>
          <w:szCs w:val="20"/>
          <w:u w:val="single"/>
          <w:lang w:val="pl-PL"/>
        </w:rPr>
        <w:t>, 25 października</w:t>
      </w:r>
    </w:p>
    <w:p w:rsidR="00B21866" w:rsidRPr="00C6074E" w:rsidRDefault="00B21866">
      <w:pPr>
        <w:rPr>
          <w:szCs w:val="20"/>
          <w:lang w:val="pl-PL"/>
        </w:rPr>
      </w:pPr>
      <w:bookmarkStart w:id="0" w:name="_GoBack"/>
      <w:bookmarkEnd w:id="0"/>
    </w:p>
    <w:p w:rsidR="00B21866" w:rsidRPr="00C6074E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>9.30-11.00</w:t>
      </w:r>
      <w:r w:rsidRPr="00C6074E">
        <w:rPr>
          <w:szCs w:val="20"/>
          <w:lang w:val="pl-PL"/>
        </w:rPr>
        <w:tab/>
      </w:r>
      <w:r w:rsidRPr="00C6074E">
        <w:rPr>
          <w:b/>
          <w:szCs w:val="20"/>
          <w:lang w:val="pl-PL"/>
        </w:rPr>
        <w:t>Człowiek kontra maszyna</w:t>
      </w:r>
      <w:r w:rsidR="00F3108A" w:rsidRPr="00C6074E">
        <w:rPr>
          <w:b/>
          <w:szCs w:val="20"/>
          <w:lang w:val="pl-PL"/>
        </w:rPr>
        <w:t>. Postedycja</w:t>
      </w:r>
    </w:p>
    <w:p w:rsidR="00B21866" w:rsidRPr="00C6074E" w:rsidRDefault="00B21866">
      <w:pPr>
        <w:rPr>
          <w:szCs w:val="20"/>
          <w:lang w:val="pl-PL"/>
        </w:rPr>
      </w:pPr>
      <w:r w:rsidRPr="00C6074E">
        <w:rPr>
          <w:szCs w:val="20"/>
          <w:lang w:val="pl-PL"/>
        </w:rPr>
        <w:tab/>
      </w:r>
      <w:r w:rsidRPr="00C6074E">
        <w:rPr>
          <w:szCs w:val="20"/>
          <w:lang w:val="pl-PL"/>
        </w:rPr>
        <w:tab/>
      </w:r>
      <w:r w:rsidR="00F3108A" w:rsidRPr="00C6074E">
        <w:rPr>
          <w:szCs w:val="20"/>
          <w:lang w:val="pl-PL"/>
        </w:rPr>
        <w:t>Ćwiczenia, omówienie.</w:t>
      </w:r>
    </w:p>
    <w:p w:rsidR="00B21866" w:rsidRDefault="00AF1964">
      <w:pPr>
        <w:rPr>
          <w:szCs w:val="20"/>
          <w:lang w:val="pl-PL"/>
        </w:rPr>
      </w:pPr>
      <w:r>
        <w:rPr>
          <w:szCs w:val="20"/>
          <w:lang w:val="pl-PL"/>
        </w:rPr>
        <w:tab/>
      </w:r>
      <w:r>
        <w:rPr>
          <w:szCs w:val="20"/>
          <w:lang w:val="pl-PL"/>
        </w:rPr>
        <w:tab/>
        <w:t>Podsumowanie warsztatów</w:t>
      </w:r>
    </w:p>
    <w:p w:rsidR="00AF1964" w:rsidRPr="00C6074E" w:rsidRDefault="00AF1964" w:rsidP="00AF1964">
      <w:pPr>
        <w:ind w:left="1440"/>
        <w:rPr>
          <w:szCs w:val="20"/>
          <w:lang w:val="pl-PL"/>
        </w:rPr>
      </w:pPr>
      <w:r>
        <w:rPr>
          <w:szCs w:val="20"/>
          <w:lang w:val="pl-PL"/>
        </w:rPr>
        <w:t>(</w:t>
      </w:r>
      <w:r w:rsidRPr="00AF1964">
        <w:rPr>
          <w:szCs w:val="20"/>
          <w:u w:val="single"/>
          <w:lang w:val="pl-PL"/>
        </w:rPr>
        <w:t>dla studentów</w:t>
      </w:r>
      <w:r>
        <w:rPr>
          <w:szCs w:val="20"/>
          <w:lang w:val="pl-PL"/>
        </w:rPr>
        <w:t>)</w:t>
      </w:r>
    </w:p>
    <w:p w:rsidR="00AF1964" w:rsidRPr="00C6074E" w:rsidRDefault="00AF1964">
      <w:pPr>
        <w:rPr>
          <w:szCs w:val="20"/>
          <w:lang w:val="pl-PL"/>
        </w:rPr>
      </w:pPr>
    </w:p>
    <w:p w:rsidR="00E51C79" w:rsidRDefault="00E51C79">
      <w:pPr>
        <w:rPr>
          <w:szCs w:val="20"/>
          <w:lang w:val="pl-PL"/>
        </w:rPr>
      </w:pPr>
    </w:p>
    <w:p w:rsidR="008676E0" w:rsidRPr="00C6074E" w:rsidRDefault="008676E0">
      <w:pPr>
        <w:rPr>
          <w:szCs w:val="20"/>
          <w:lang w:val="pl-PL"/>
        </w:rPr>
      </w:pPr>
      <w:r w:rsidRPr="008676E0">
        <w:rPr>
          <w:szCs w:val="20"/>
          <w:u w:val="single"/>
          <w:lang w:val="pl-PL"/>
        </w:rPr>
        <w:t>Kontakt</w:t>
      </w:r>
      <w:r>
        <w:rPr>
          <w:szCs w:val="20"/>
          <w:lang w:val="pl-PL"/>
        </w:rPr>
        <w:t>: Sebastian Piotrowski, sepio@kul.pl</w:t>
      </w:r>
    </w:p>
    <w:sectPr w:rsidR="008676E0" w:rsidRPr="00C6074E" w:rsidSect="00DF3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D6" w:rsidRDefault="005C03D6" w:rsidP="00AF1964">
      <w:r>
        <w:separator/>
      </w:r>
    </w:p>
  </w:endnote>
  <w:endnote w:type="continuationSeparator" w:id="0">
    <w:p w:rsidR="005C03D6" w:rsidRDefault="005C03D6" w:rsidP="00AF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D6" w:rsidRDefault="005C03D6" w:rsidP="00AF1964">
      <w:r>
        <w:separator/>
      </w:r>
    </w:p>
  </w:footnote>
  <w:footnote w:type="continuationSeparator" w:id="0">
    <w:p w:rsidR="005C03D6" w:rsidRDefault="005C03D6" w:rsidP="00AF1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866"/>
    <w:rsid w:val="00081E1C"/>
    <w:rsid w:val="003937D0"/>
    <w:rsid w:val="003A2720"/>
    <w:rsid w:val="00490036"/>
    <w:rsid w:val="00526067"/>
    <w:rsid w:val="005762E3"/>
    <w:rsid w:val="005C03D6"/>
    <w:rsid w:val="00642F42"/>
    <w:rsid w:val="006475E3"/>
    <w:rsid w:val="006800A3"/>
    <w:rsid w:val="00792354"/>
    <w:rsid w:val="007A584C"/>
    <w:rsid w:val="008676E0"/>
    <w:rsid w:val="008765BE"/>
    <w:rsid w:val="00941D06"/>
    <w:rsid w:val="009D06EE"/>
    <w:rsid w:val="00AF1964"/>
    <w:rsid w:val="00B05C85"/>
    <w:rsid w:val="00B21866"/>
    <w:rsid w:val="00BB3334"/>
    <w:rsid w:val="00C2757F"/>
    <w:rsid w:val="00C31E54"/>
    <w:rsid w:val="00C6074E"/>
    <w:rsid w:val="00DF3271"/>
    <w:rsid w:val="00E51C79"/>
    <w:rsid w:val="00EB09C6"/>
    <w:rsid w:val="00EF2FB3"/>
    <w:rsid w:val="00F3108A"/>
    <w:rsid w:val="00F768C8"/>
    <w:rsid w:val="00FA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2E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2E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2E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2E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2E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2E3"/>
    <w:rPr>
      <w:b/>
      <w:bCs/>
    </w:rPr>
  </w:style>
  <w:style w:type="character" w:styleId="Uwydatnienie">
    <w:name w:val="Emphasis"/>
    <w:basedOn w:val="Domylnaczcionkaakapitu"/>
    <w:uiPriority w:val="20"/>
    <w:qFormat/>
    <w:rsid w:val="005762E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5762E3"/>
    <w:rPr>
      <w:szCs w:val="32"/>
    </w:rPr>
  </w:style>
  <w:style w:type="paragraph" w:styleId="Akapitzlist">
    <w:name w:val="List Paragraph"/>
    <w:basedOn w:val="Normalny"/>
    <w:uiPriority w:val="34"/>
    <w:qFormat/>
    <w:rsid w:val="005762E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2E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762E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2E3"/>
    <w:rPr>
      <w:b/>
      <w:i/>
      <w:sz w:val="24"/>
    </w:rPr>
  </w:style>
  <w:style w:type="character" w:styleId="Wyrnieniedelikatne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762E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762E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2E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2E3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9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96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9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BB10-DC09-482F-92C2-34D868A5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SZNURAWA Anna</dc:creator>
  <cp:keywords/>
  <dc:description/>
  <cp:lastModifiedBy>admin</cp:lastModifiedBy>
  <cp:revision>18</cp:revision>
  <cp:lastPrinted>2019-10-15T11:25:00Z</cp:lastPrinted>
  <dcterms:created xsi:type="dcterms:W3CDTF">2019-09-17T08:07:00Z</dcterms:created>
  <dcterms:modified xsi:type="dcterms:W3CDTF">2019-10-15T22:11:00Z</dcterms:modified>
</cp:coreProperties>
</file>