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36" w:rsidRDefault="00D62036" w:rsidP="00D62036">
      <w:pPr>
        <w:jc w:val="center"/>
        <w:rPr>
          <w:b/>
        </w:rPr>
      </w:pPr>
      <w:r>
        <w:rPr>
          <w:b/>
        </w:rPr>
        <w:t>PRAWO MIĘDZYNARODOWE PUBLICZNE</w:t>
      </w:r>
    </w:p>
    <w:p w:rsidR="003602AC" w:rsidRDefault="00114E6F" w:rsidP="00D62036">
      <w:pPr>
        <w:jc w:val="center"/>
        <w:rPr>
          <w:b/>
        </w:rPr>
      </w:pPr>
      <w:r>
        <w:rPr>
          <w:b/>
        </w:rPr>
        <w:t>ROK AKADEMICKI 2020</w:t>
      </w:r>
      <w:r w:rsidR="003602AC">
        <w:rPr>
          <w:b/>
        </w:rPr>
        <w:t>/20</w:t>
      </w:r>
      <w:r>
        <w:rPr>
          <w:b/>
        </w:rPr>
        <w:t>21</w:t>
      </w:r>
    </w:p>
    <w:p w:rsidR="007D0B83" w:rsidRDefault="007D0B83" w:rsidP="00D62036">
      <w:pPr>
        <w:jc w:val="center"/>
        <w:rPr>
          <w:b/>
        </w:rPr>
      </w:pPr>
      <w:r>
        <w:rPr>
          <w:b/>
        </w:rPr>
        <w:t>PRAWO, STUDIA STACJONARNE</w:t>
      </w:r>
    </w:p>
    <w:p w:rsidR="002F43D0" w:rsidRDefault="002F43D0" w:rsidP="00D62036">
      <w:pPr>
        <w:jc w:val="both"/>
        <w:rPr>
          <w:b/>
        </w:rPr>
      </w:pPr>
    </w:p>
    <w:p w:rsidR="00132C74" w:rsidRPr="00D62036" w:rsidRDefault="00D62036" w:rsidP="00D62036">
      <w:pPr>
        <w:jc w:val="both"/>
        <w:rPr>
          <w:b/>
        </w:rPr>
      </w:pPr>
      <w:r w:rsidRPr="00D62036">
        <w:rPr>
          <w:b/>
        </w:rPr>
        <w:t xml:space="preserve">WYKŁAD: </w:t>
      </w:r>
    </w:p>
    <w:p w:rsidR="00D62036" w:rsidRDefault="00D62036" w:rsidP="00D62036">
      <w:pPr>
        <w:jc w:val="both"/>
      </w:pPr>
      <w:r>
        <w:t>Odbywa się w cyklu cot</w:t>
      </w:r>
      <w:r w:rsidR="003A1967">
        <w:t>y</w:t>
      </w:r>
      <w:r w:rsidR="003602AC">
        <w:t>godniowym, we wtorki w godz.  1</w:t>
      </w:r>
      <w:r w:rsidR="00114E6F">
        <w:t>1</w:t>
      </w:r>
      <w:r>
        <w:t>.</w:t>
      </w:r>
      <w:r w:rsidR="00114E6F">
        <w:t>4</w:t>
      </w:r>
      <w:r w:rsidR="007D0B83">
        <w:t>0</w:t>
      </w:r>
      <w:r>
        <w:t xml:space="preserve"> – 1</w:t>
      </w:r>
      <w:r w:rsidR="00114E6F">
        <w:t>4</w:t>
      </w:r>
      <w:r>
        <w:t>.</w:t>
      </w:r>
      <w:r w:rsidR="00114E6F">
        <w:t>1</w:t>
      </w:r>
      <w:r w:rsidR="008244DE">
        <w:t xml:space="preserve">0 </w:t>
      </w:r>
      <w:r w:rsidR="003A1967">
        <w:t>[wliczona jest 15 minutowa przerwa]</w:t>
      </w:r>
      <w:r w:rsidR="00F46E89">
        <w:t xml:space="preserve"> (45 godz.)</w:t>
      </w:r>
      <w:r w:rsidR="00114E6F">
        <w:t xml:space="preserve">, ONLINE (TEAMS) </w:t>
      </w:r>
      <w:r w:rsidR="004A00D9">
        <w:t xml:space="preserve"> </w:t>
      </w:r>
      <w:r w:rsidR="00F46E89">
        <w:t xml:space="preserve"> </w:t>
      </w:r>
    </w:p>
    <w:p w:rsidR="00D62036" w:rsidRDefault="00D62036" w:rsidP="00D62036">
      <w:pPr>
        <w:jc w:val="both"/>
      </w:pPr>
    </w:p>
    <w:p w:rsidR="00D62036" w:rsidRPr="00D62036" w:rsidRDefault="00F46E89" w:rsidP="00D62036">
      <w:pPr>
        <w:jc w:val="both"/>
        <w:rPr>
          <w:b/>
        </w:rPr>
      </w:pPr>
      <w:r>
        <w:rPr>
          <w:b/>
        </w:rPr>
        <w:t>Tematy zajęć</w:t>
      </w:r>
      <w:r w:rsidR="00D62036" w:rsidRPr="00D62036">
        <w:rPr>
          <w:b/>
        </w:rPr>
        <w:t>:</w:t>
      </w:r>
    </w:p>
    <w:p w:rsidR="00D62036" w:rsidRDefault="00D62036" w:rsidP="00D62036">
      <w:pPr>
        <w:jc w:val="both"/>
      </w:pPr>
      <w:r>
        <w:t xml:space="preserve">Zagadnienia wstępne prawa międzynarodowego. Rozwój historyczny prawa międzynarodowego. Źródła prawa międzynarodowego. Prawo traktatów. Podmioty prawa międzynarodowego, ze szczególnym uwzględnieniem państw i organizacji międzynarodowych. Terytorium w prawie międzynarodowym. Prawo dyplomatyczne i konsularne. Pokojowe regulowanie sporów międzynarodowych. </w:t>
      </w:r>
      <w:r w:rsidR="00114E6F">
        <w:t>Prawo przeciwwojenne oraz m</w:t>
      </w:r>
      <w:r w:rsidR="002F43D0">
        <w:t xml:space="preserve">iędzynarodowe prawo humanitarne konfliktów zbrojnych. </w:t>
      </w:r>
    </w:p>
    <w:p w:rsidR="004A00D9" w:rsidRDefault="004A00D9" w:rsidP="00D62036">
      <w:pPr>
        <w:jc w:val="both"/>
        <w:rPr>
          <w:b/>
        </w:rPr>
      </w:pPr>
    </w:p>
    <w:p w:rsidR="00D62036" w:rsidRDefault="00D62036" w:rsidP="00D62036">
      <w:pPr>
        <w:jc w:val="both"/>
        <w:rPr>
          <w:b/>
        </w:rPr>
      </w:pPr>
      <w:r w:rsidRPr="00D62036">
        <w:rPr>
          <w:b/>
        </w:rPr>
        <w:t xml:space="preserve">Egzamin: </w:t>
      </w:r>
    </w:p>
    <w:p w:rsidR="00D62036" w:rsidRDefault="00D62036" w:rsidP="00D62036">
      <w:pPr>
        <w:jc w:val="both"/>
      </w:pPr>
      <w:r>
        <w:t>Egzamin będzie miał formę pisemną</w:t>
      </w:r>
      <w:r w:rsidR="00114E6F">
        <w:t xml:space="preserve"> ONLINE</w:t>
      </w:r>
      <w:r>
        <w:t xml:space="preserve">: test obejmujący </w:t>
      </w:r>
      <w:r w:rsidR="004A00D9">
        <w:t xml:space="preserve"> </w:t>
      </w:r>
    </w:p>
    <w:p w:rsidR="00D62036" w:rsidRDefault="00D62036" w:rsidP="00D62036">
      <w:pPr>
        <w:numPr>
          <w:ilvl w:val="0"/>
          <w:numId w:val="1"/>
        </w:numPr>
        <w:jc w:val="both"/>
      </w:pPr>
      <w:r>
        <w:t>pytania zarówno testowe, jak i krótkie pytania opisowe do uzupełnienia</w:t>
      </w:r>
      <w:r w:rsidR="004A00D9">
        <w:t xml:space="preserve"> </w:t>
      </w:r>
    </w:p>
    <w:p w:rsidR="00D62036" w:rsidRDefault="008023F4" w:rsidP="00D62036">
      <w:pPr>
        <w:numPr>
          <w:ilvl w:val="0"/>
          <w:numId w:val="1"/>
        </w:numPr>
        <w:jc w:val="both"/>
      </w:pPr>
      <w:r>
        <w:t>1 kazus</w:t>
      </w:r>
    </w:p>
    <w:p w:rsidR="004A00D9" w:rsidRDefault="004A00D9" w:rsidP="004A00D9">
      <w:pPr>
        <w:pStyle w:val="Akapitzlist"/>
        <w:jc w:val="both"/>
      </w:pPr>
    </w:p>
    <w:p w:rsidR="004A00D9" w:rsidRPr="00AE33D5" w:rsidRDefault="004A00D9" w:rsidP="004A00D9">
      <w:pPr>
        <w:pStyle w:val="Akapitzlist"/>
        <w:jc w:val="both"/>
      </w:pPr>
      <w:r w:rsidRPr="00AE33D5">
        <w:t>Ocena końcowa zostanie przyznana według następującego klucza:</w:t>
      </w:r>
    </w:p>
    <w:p w:rsidR="004A00D9" w:rsidRPr="00AE33D5" w:rsidRDefault="004A00D9" w:rsidP="004A00D9">
      <w:pPr>
        <w:pStyle w:val="Akapitzlist"/>
        <w:jc w:val="both"/>
      </w:pPr>
      <w:r>
        <w:t xml:space="preserve">Ocena dostateczna: </w:t>
      </w:r>
      <w:r>
        <w:tab/>
      </w:r>
      <w:r>
        <w:tab/>
        <w:t>19-22</w:t>
      </w:r>
      <w:r w:rsidRPr="00AE33D5">
        <w:t xml:space="preserve"> punktów,</w:t>
      </w:r>
    </w:p>
    <w:p w:rsidR="004A00D9" w:rsidRPr="00AE33D5" w:rsidRDefault="004A00D9" w:rsidP="004A00D9">
      <w:pPr>
        <w:pStyle w:val="Akapitzlist"/>
        <w:jc w:val="both"/>
      </w:pPr>
      <w:r>
        <w:t xml:space="preserve">Ocena dostateczna plus: </w:t>
      </w:r>
      <w:r>
        <w:tab/>
        <w:t>23-26</w:t>
      </w:r>
      <w:r w:rsidRPr="00AE33D5">
        <w:t xml:space="preserve"> punktów,</w:t>
      </w:r>
    </w:p>
    <w:p w:rsidR="004A00D9" w:rsidRPr="00AE33D5" w:rsidRDefault="004A00D9" w:rsidP="004A00D9">
      <w:pPr>
        <w:pStyle w:val="Akapitzlist"/>
        <w:jc w:val="both"/>
      </w:pPr>
      <w:r>
        <w:t>Ocena dobra:</w:t>
      </w:r>
      <w:r>
        <w:tab/>
      </w:r>
      <w:r>
        <w:tab/>
      </w:r>
      <w:r>
        <w:tab/>
        <w:t>27-30</w:t>
      </w:r>
      <w:r w:rsidRPr="00AE33D5">
        <w:t xml:space="preserve"> punktów,</w:t>
      </w:r>
    </w:p>
    <w:p w:rsidR="004A00D9" w:rsidRPr="00AE33D5" w:rsidRDefault="004A00D9" w:rsidP="004A00D9">
      <w:pPr>
        <w:pStyle w:val="Akapitzlist"/>
        <w:jc w:val="both"/>
      </w:pPr>
      <w:r w:rsidRPr="00AE33D5">
        <w:t>Ocena dobra plus:</w:t>
      </w:r>
      <w:r w:rsidRPr="00AE33D5">
        <w:tab/>
      </w:r>
      <w:r w:rsidRPr="00AE33D5">
        <w:tab/>
      </w:r>
      <w:r>
        <w:t>31-34</w:t>
      </w:r>
      <w:r w:rsidRPr="00AE33D5">
        <w:t xml:space="preserve"> punktów,</w:t>
      </w:r>
    </w:p>
    <w:p w:rsidR="004A00D9" w:rsidRPr="00AE33D5" w:rsidRDefault="004A00D9" w:rsidP="004A00D9">
      <w:pPr>
        <w:pStyle w:val="Akapitzlist"/>
        <w:jc w:val="both"/>
      </w:pPr>
      <w:r>
        <w:t xml:space="preserve">Ocena bardzo dobra: </w:t>
      </w:r>
      <w:r>
        <w:tab/>
      </w:r>
      <w:r>
        <w:tab/>
        <w:t>35-38</w:t>
      </w:r>
      <w:r w:rsidRPr="00AE33D5">
        <w:t xml:space="preserve"> punktów </w:t>
      </w:r>
    </w:p>
    <w:p w:rsidR="002F43D0" w:rsidRDefault="002F43D0" w:rsidP="002F43D0">
      <w:pPr>
        <w:ind w:left="720"/>
        <w:jc w:val="both"/>
      </w:pPr>
    </w:p>
    <w:p w:rsidR="00D62036" w:rsidRDefault="00D62036" w:rsidP="00D62036">
      <w:pPr>
        <w:jc w:val="both"/>
      </w:pPr>
    </w:p>
    <w:p w:rsidR="00D62036" w:rsidRPr="00F46E89" w:rsidRDefault="00F46E89" w:rsidP="00D62036">
      <w:pPr>
        <w:jc w:val="both"/>
        <w:rPr>
          <w:b/>
        </w:rPr>
      </w:pPr>
      <w:r w:rsidRPr="00F46E89">
        <w:rPr>
          <w:b/>
        </w:rPr>
        <w:t xml:space="preserve">ĆWICZENIA: </w:t>
      </w:r>
    </w:p>
    <w:p w:rsidR="00F46E89" w:rsidRDefault="00F46E89" w:rsidP="00D62036">
      <w:pPr>
        <w:jc w:val="both"/>
      </w:pPr>
      <w:r>
        <w:t>Ćwiczenia będą odbywały się w cyklu cotygodniowym według planu (30 godz.)</w:t>
      </w:r>
      <w:r w:rsidR="00114E6F">
        <w:t xml:space="preserve"> ONLINE (TEAMS)</w:t>
      </w:r>
      <w:r>
        <w:t>. Możliwość zmiany grupy (niezależnie od tego, czy oznacza to jednocześnie zmianę pro</w:t>
      </w:r>
      <w:r w:rsidR="00114E6F">
        <w:t xml:space="preserve">wadzącego) jest możliwa </w:t>
      </w:r>
      <w:r>
        <w:t xml:space="preserve">za zgodą Dziekana. </w:t>
      </w:r>
    </w:p>
    <w:p w:rsidR="00F46E89" w:rsidRDefault="00F46E89" w:rsidP="00D62036">
      <w:pPr>
        <w:jc w:val="both"/>
      </w:pPr>
    </w:p>
    <w:p w:rsidR="00F46E89" w:rsidRDefault="00F46E89" w:rsidP="00F46E89">
      <w:r w:rsidRPr="00F46E89">
        <w:rPr>
          <w:b/>
        </w:rPr>
        <w:t>Tematy zajęć:</w:t>
      </w:r>
      <w:r w:rsidRPr="00F46E89">
        <w:rPr>
          <w:b/>
        </w:rPr>
        <w:br/>
      </w:r>
      <w:r>
        <w:t xml:space="preserve">Zagadnienia wstępne: pojęcie, cechy, </w:t>
      </w:r>
      <w:r w:rsidR="00114E6F">
        <w:t xml:space="preserve">zasady, </w:t>
      </w:r>
      <w:r>
        <w:t>syste</w:t>
      </w:r>
      <w:r w:rsidR="00114E6F">
        <w:t>matyka prawa międzynarodowego (2</w:t>
      </w:r>
      <w:r>
        <w:t xml:space="preserve"> godz.)</w:t>
      </w:r>
      <w:r>
        <w:br/>
        <w:t>Źródła prawa międzynarodowego (2 godz.)</w:t>
      </w:r>
      <w:r>
        <w:br/>
        <w:t>Prawo traktów (</w:t>
      </w:r>
      <w:r w:rsidR="00114E6F">
        <w:t>6</w:t>
      </w:r>
      <w:r>
        <w:t xml:space="preserve"> godz.) </w:t>
      </w:r>
      <w:r>
        <w:br/>
        <w:t>Odpowiedzialność międzynarodowa państw (2 godz.)</w:t>
      </w:r>
      <w:r>
        <w:br/>
      </w:r>
      <w:r w:rsidR="004F63B9">
        <w:t>Zagadnienia terytorialne ze szczególnym uwzględnieniem prawa</w:t>
      </w:r>
      <w:r w:rsidR="008244DE">
        <w:t xml:space="preserve"> morza (</w:t>
      </w:r>
      <w:r w:rsidR="00114E6F">
        <w:t>6</w:t>
      </w:r>
      <w:r w:rsidR="008244DE">
        <w:t xml:space="preserve"> godz.)</w:t>
      </w:r>
      <w:r w:rsidR="008244DE">
        <w:br/>
      </w:r>
      <w:r w:rsidR="003A1967">
        <w:t>Zagadnienia dotyczące ludności w świetle prawa międzynarodowego</w:t>
      </w:r>
      <w:r w:rsidR="002F43D0">
        <w:t xml:space="preserve"> </w:t>
      </w:r>
      <w:r w:rsidR="003A1967">
        <w:t>(</w:t>
      </w:r>
      <w:r w:rsidR="00114E6F">
        <w:t>4</w:t>
      </w:r>
      <w:r>
        <w:t xml:space="preserve"> godz.) </w:t>
      </w:r>
      <w:r>
        <w:br/>
        <w:t>Międzynarodowa ochrona praw człowieka (</w:t>
      </w:r>
      <w:r w:rsidR="00114E6F">
        <w:t>4</w:t>
      </w:r>
      <w:r>
        <w:t xml:space="preserve"> godz.)</w:t>
      </w:r>
    </w:p>
    <w:p w:rsidR="003A1967" w:rsidRDefault="004A00D9" w:rsidP="00F46E89">
      <w:r>
        <w:t>Rozwiązywanie sporów międzynarodowych, ze szczególnym uwzględnieniem sądownictwa międzynarodowego</w:t>
      </w:r>
      <w:r w:rsidR="003A1967">
        <w:t xml:space="preserve"> </w:t>
      </w:r>
      <w:r w:rsidR="00114E6F">
        <w:t xml:space="preserve">– MTS </w:t>
      </w:r>
      <w:r w:rsidR="003A1967">
        <w:t>(2 godz.)</w:t>
      </w:r>
    </w:p>
    <w:p w:rsidR="00114E6F" w:rsidRDefault="00114E6F" w:rsidP="00F46E89">
      <w:r>
        <w:t xml:space="preserve">Międzynarodowe prawo humanitarne ze szczególnym uwzględnieniem odpowiedzialności za jego naruszenia (2 godz.) </w:t>
      </w:r>
    </w:p>
    <w:p w:rsidR="00F46E89" w:rsidRDefault="00F46E89" w:rsidP="00F46E89"/>
    <w:p w:rsidR="00114E6F" w:rsidRDefault="00114E6F" w:rsidP="00D62036">
      <w:pPr>
        <w:jc w:val="both"/>
        <w:rPr>
          <w:b/>
        </w:rPr>
      </w:pPr>
    </w:p>
    <w:p w:rsidR="00114E6F" w:rsidRDefault="00114E6F" w:rsidP="00D62036">
      <w:pPr>
        <w:jc w:val="both"/>
        <w:rPr>
          <w:b/>
        </w:rPr>
      </w:pPr>
    </w:p>
    <w:p w:rsidR="00C26BA7" w:rsidRPr="00C26BA7" w:rsidRDefault="00C26BA7" w:rsidP="00D62036">
      <w:pPr>
        <w:jc w:val="both"/>
        <w:rPr>
          <w:b/>
        </w:rPr>
      </w:pPr>
      <w:r w:rsidRPr="00C26BA7">
        <w:rPr>
          <w:b/>
        </w:rPr>
        <w:lastRenderedPageBreak/>
        <w:t>Zasady uczestnictwa w zajęciach:</w:t>
      </w:r>
    </w:p>
    <w:p w:rsidR="00C26BA7" w:rsidRDefault="00C26BA7" w:rsidP="0098343F">
      <w:pPr>
        <w:numPr>
          <w:ilvl w:val="0"/>
          <w:numId w:val="2"/>
        </w:numPr>
        <w:jc w:val="both"/>
      </w:pPr>
      <w:r>
        <w:t xml:space="preserve">Dopuszczalne są 2 nieobecności w semestrze, bez konieczności (i potrzeby) usprawiedliwienia (studenci z IOS – 4 nieobecności). Każda kolejna nieobecność (3, 4..) wymaga zaliczenia materiału z tych zajęć, na których student był nieobecny, podczas konsultacji prowadzącego. Zaliczenie nieobecności z tematyki, która jest objęta kolokwium, musi nastąpić PRZED tym kolokwium, w innym przypadku student nie jest dopuszczony do kolokwium. Nieobecność na więcej niż połowie zajęć wymaga zarówno usprawiedliwienia tych nieobecności, jak i zaliczenia materiału z nich, w przeciwnym wypadku student nie może otrzymać zaliczenia ćwiczeń. </w:t>
      </w:r>
    </w:p>
    <w:p w:rsidR="00C26BA7" w:rsidRDefault="00114E6F" w:rsidP="0098343F">
      <w:pPr>
        <w:numPr>
          <w:ilvl w:val="0"/>
          <w:numId w:val="2"/>
        </w:numPr>
        <w:jc w:val="both"/>
      </w:pPr>
      <w:r>
        <w:t xml:space="preserve">Uczestniczenie w </w:t>
      </w:r>
      <w:r w:rsidR="00C26BA7">
        <w:t>zajęcia</w:t>
      </w:r>
      <w:r>
        <w:t>ch</w:t>
      </w:r>
      <w:r w:rsidR="00C26BA7">
        <w:t xml:space="preserve"> z inną grupą niż własna jest możliwe tylko w wyjątkowych i sporadycznych przypadkach, pod warunkiem, że na obu tych grupach przerabiany jest ten sam materiał. </w:t>
      </w:r>
    </w:p>
    <w:p w:rsidR="0098343F" w:rsidRPr="0098343F" w:rsidRDefault="0098343F" w:rsidP="0098343F">
      <w:pPr>
        <w:numPr>
          <w:ilvl w:val="0"/>
          <w:numId w:val="2"/>
        </w:numPr>
        <w:jc w:val="both"/>
        <w:rPr>
          <w:u w:val="single"/>
        </w:rPr>
      </w:pPr>
      <w:r>
        <w:t xml:space="preserve">W ciągu semestru odbędą się </w:t>
      </w:r>
      <w:r w:rsidRPr="008244DE">
        <w:rPr>
          <w:b/>
        </w:rPr>
        <w:t>3 kolokwia</w:t>
      </w:r>
      <w:r>
        <w:t xml:space="preserve">. Materiał na kolokwia będzie obejmował zarówno tematykę </w:t>
      </w:r>
      <w:r w:rsidR="008244DE">
        <w:t xml:space="preserve">omawianą </w:t>
      </w:r>
      <w:r>
        <w:t xml:space="preserve">na ćwiczeniach, </w:t>
      </w:r>
      <w:r w:rsidRPr="0098343F">
        <w:rPr>
          <w:u w:val="single"/>
        </w:rPr>
        <w:t>jak i materiał p</w:t>
      </w:r>
      <w:r>
        <w:rPr>
          <w:u w:val="single"/>
        </w:rPr>
        <w:t xml:space="preserve">rzerobiony na wykładzie </w:t>
      </w:r>
      <w:r>
        <w:t>(w przypadku 2 i 3 kolokwium niektóre zagadnienia będą omawiane tylko na wykładzie</w:t>
      </w:r>
      <w:r w:rsidR="003A1967">
        <w:t xml:space="preserve"> lub tylko na ćwiczeniach</w:t>
      </w:r>
      <w:r>
        <w:t>).</w:t>
      </w:r>
      <w:r w:rsidR="00114E6F">
        <w:t xml:space="preserve"> Wszystkie kolokwia będą miały formę pisemną: test (ONLINE). </w:t>
      </w:r>
    </w:p>
    <w:p w:rsidR="009467D0" w:rsidRPr="009467D0" w:rsidRDefault="00114E6F" w:rsidP="0098343F">
      <w:pPr>
        <w:numPr>
          <w:ilvl w:val="0"/>
          <w:numId w:val="3"/>
        </w:numPr>
        <w:jc w:val="both"/>
        <w:rPr>
          <w:u w:val="single"/>
        </w:rPr>
      </w:pPr>
      <w:r>
        <w:t xml:space="preserve">Kolokwium: </w:t>
      </w:r>
      <w:r w:rsidR="00CC40AD">
        <w:t>zagadnienia wprowadzające;</w:t>
      </w:r>
      <w:r>
        <w:t xml:space="preserve"> </w:t>
      </w:r>
      <w:r w:rsidR="0098343F">
        <w:t>źródła, ze szczególnym uwz</w:t>
      </w:r>
      <w:r>
        <w:t xml:space="preserve">ględnieniem prawa traktatów </w:t>
      </w:r>
    </w:p>
    <w:p w:rsidR="0098343F" w:rsidRPr="009467D0" w:rsidRDefault="00114E6F" w:rsidP="0098343F">
      <w:pPr>
        <w:numPr>
          <w:ilvl w:val="0"/>
          <w:numId w:val="3"/>
        </w:numPr>
        <w:jc w:val="both"/>
        <w:rPr>
          <w:u w:val="single"/>
        </w:rPr>
      </w:pPr>
      <w:r>
        <w:t xml:space="preserve">Kolokwium: </w:t>
      </w:r>
      <w:r w:rsidR="0098343F">
        <w:t>podmiotowość, odpowiedzialność, terytorium</w:t>
      </w:r>
      <w:r>
        <w:t xml:space="preserve">, ze szczególnym uwzględnieniem prawa morza </w:t>
      </w:r>
    </w:p>
    <w:p w:rsidR="0098343F" w:rsidRPr="00396145" w:rsidRDefault="00114E6F" w:rsidP="0098343F">
      <w:pPr>
        <w:numPr>
          <w:ilvl w:val="0"/>
          <w:numId w:val="3"/>
        </w:numPr>
        <w:jc w:val="both"/>
        <w:rPr>
          <w:u w:val="single"/>
        </w:rPr>
      </w:pPr>
      <w:r>
        <w:t>Kolokwium: l</w:t>
      </w:r>
      <w:r w:rsidR="0098343F">
        <w:t xml:space="preserve">udność, prawo dyplomatyczne i konsularne, rozwiązywanie sporów, </w:t>
      </w:r>
      <w:r w:rsidR="003A1967">
        <w:t xml:space="preserve">międzynarodowe prawo humanitarne </w:t>
      </w:r>
      <w:r>
        <w:t>konfliktów zbrojnych</w:t>
      </w:r>
      <w:r w:rsidR="00CC40AD">
        <w:t>.</w:t>
      </w:r>
    </w:p>
    <w:p w:rsidR="00396145" w:rsidRDefault="00396145" w:rsidP="00396145">
      <w:pPr>
        <w:ind w:left="720"/>
        <w:jc w:val="both"/>
      </w:pPr>
    </w:p>
    <w:p w:rsidR="00396145" w:rsidRDefault="00396145" w:rsidP="00396145">
      <w:pPr>
        <w:ind w:left="720"/>
        <w:jc w:val="both"/>
      </w:pPr>
      <w:r w:rsidRPr="00396145">
        <w:rPr>
          <w:b/>
          <w:u w:val="single"/>
        </w:rPr>
        <w:t>Proponowane</w:t>
      </w:r>
      <w:r>
        <w:t xml:space="preserve"> terminy kolokwiów: </w:t>
      </w:r>
    </w:p>
    <w:p w:rsidR="00396145" w:rsidRDefault="00396145" w:rsidP="00396145">
      <w:pPr>
        <w:ind w:left="720"/>
        <w:jc w:val="both"/>
      </w:pPr>
    </w:p>
    <w:p w:rsidR="00396145" w:rsidRDefault="00114E6F" w:rsidP="00396145">
      <w:pPr>
        <w:numPr>
          <w:ilvl w:val="0"/>
          <w:numId w:val="4"/>
        </w:numPr>
        <w:jc w:val="both"/>
      </w:pPr>
      <w:r>
        <w:t>druga połowa listopada 2020</w:t>
      </w:r>
      <w:r w:rsidR="007D0B83">
        <w:t xml:space="preserve"> r.</w:t>
      </w:r>
    </w:p>
    <w:p w:rsidR="00396145" w:rsidRDefault="00114E6F" w:rsidP="00396145">
      <w:pPr>
        <w:numPr>
          <w:ilvl w:val="0"/>
          <w:numId w:val="4"/>
        </w:numPr>
        <w:jc w:val="both"/>
      </w:pPr>
      <w:r>
        <w:t>grudzień 2020</w:t>
      </w:r>
      <w:r w:rsidR="007D0B83">
        <w:t xml:space="preserve"> r.</w:t>
      </w:r>
    </w:p>
    <w:p w:rsidR="008244DE" w:rsidRDefault="00114E6F" w:rsidP="00396145">
      <w:pPr>
        <w:numPr>
          <w:ilvl w:val="0"/>
          <w:numId w:val="4"/>
        </w:numPr>
        <w:jc w:val="both"/>
      </w:pPr>
      <w:r>
        <w:t>styczeń 2021</w:t>
      </w:r>
      <w:r w:rsidR="007D0B83">
        <w:t xml:space="preserve"> r.</w:t>
      </w:r>
    </w:p>
    <w:p w:rsidR="00396145" w:rsidRDefault="00396145" w:rsidP="00396145">
      <w:pPr>
        <w:numPr>
          <w:ilvl w:val="0"/>
          <w:numId w:val="4"/>
        </w:numPr>
        <w:jc w:val="both"/>
      </w:pPr>
      <w:r>
        <w:t>Poprawa/uzupełnienie: w ostatnim tygodniu zajęć</w:t>
      </w:r>
    </w:p>
    <w:p w:rsidR="00396145" w:rsidRPr="00396145" w:rsidRDefault="00396145" w:rsidP="00396145">
      <w:pPr>
        <w:jc w:val="both"/>
      </w:pPr>
    </w:p>
    <w:p w:rsidR="0098343F" w:rsidRPr="00DE4426" w:rsidRDefault="0098343F" w:rsidP="0098343F">
      <w:pPr>
        <w:ind w:left="360"/>
        <w:jc w:val="both"/>
      </w:pPr>
      <w:r w:rsidRPr="00DE4426">
        <w:t>W ramach kolokwiów pisemnych będą zarówno pytania testowe</w:t>
      </w:r>
      <w:r w:rsidR="009467D0" w:rsidRPr="00DE4426">
        <w:t xml:space="preserve"> (wielokrotnego i jednokrotnego wyboru)</w:t>
      </w:r>
      <w:r w:rsidRPr="00DE4426">
        <w:t xml:space="preserve">, jak i przynajmniej 1 kazus do rozwiązania. </w:t>
      </w:r>
      <w:r w:rsidR="00490F78" w:rsidRPr="00DE4426">
        <w:t>Kolokwia pisemne będą się odbywały w tym samym terminie dla wszystkich grup ćwiczeniowych.</w:t>
      </w:r>
    </w:p>
    <w:p w:rsidR="0034347D" w:rsidRPr="00AE33D5" w:rsidRDefault="0034347D" w:rsidP="0098343F">
      <w:pPr>
        <w:ind w:left="360"/>
        <w:jc w:val="both"/>
      </w:pPr>
      <w:r w:rsidRPr="00AE33D5">
        <w:t xml:space="preserve">Z każdego kolokwium możliwe będzie uzyskanie maksymalnie 38 punktów. </w:t>
      </w:r>
    </w:p>
    <w:p w:rsidR="0098343F" w:rsidRPr="00AE33D5" w:rsidRDefault="0098343F" w:rsidP="0098343F">
      <w:pPr>
        <w:ind w:left="360"/>
        <w:jc w:val="both"/>
      </w:pPr>
      <w:r w:rsidRPr="00AE33D5">
        <w:t xml:space="preserve">Ocena końcowa będzie </w:t>
      </w:r>
      <w:r w:rsidR="00490F78" w:rsidRPr="00AE33D5">
        <w:t xml:space="preserve">wynikiem </w:t>
      </w:r>
      <w:r w:rsidR="0034347D" w:rsidRPr="00AE33D5">
        <w:t xml:space="preserve">sumy punktów uzyskanych z trzech kolokwiów. </w:t>
      </w:r>
      <w:r w:rsidR="00F07A83" w:rsidRPr="00AE33D5">
        <w:t xml:space="preserve"> M</w:t>
      </w:r>
      <w:r w:rsidR="00490F78" w:rsidRPr="00AE33D5">
        <w:t>ożliwe</w:t>
      </w:r>
      <w:r w:rsidR="00F07A83" w:rsidRPr="00AE33D5">
        <w:t xml:space="preserve"> będzie</w:t>
      </w:r>
      <w:r w:rsidR="00490F78" w:rsidRPr="00AE33D5">
        <w:t xml:space="preserve"> jed</w:t>
      </w:r>
      <w:r w:rsidR="0034347D" w:rsidRPr="00AE33D5">
        <w:t xml:space="preserve">nokrotne poprawienie kolokwium pod koniec semestru. </w:t>
      </w:r>
      <w:r w:rsidR="00011F67" w:rsidRPr="00AE33D5">
        <w:t>Z pi</w:t>
      </w:r>
      <w:r w:rsidR="00F07A83" w:rsidRPr="00AE33D5">
        <w:t>semnych kolokwiów będzie można uzyskać</w:t>
      </w:r>
      <w:r w:rsidR="00011F67" w:rsidRPr="00AE33D5">
        <w:t xml:space="preserve"> maksymalnie 114 pu</w:t>
      </w:r>
      <w:r w:rsidR="00AE33D5" w:rsidRPr="00AE33D5">
        <w:t xml:space="preserve">nktów. Przyznanie pozostałych </w:t>
      </w:r>
      <w:r w:rsidR="00011F67" w:rsidRPr="00AE33D5">
        <w:t xml:space="preserve">punktów będzie należało do prowadzącego ćwiczenia </w:t>
      </w:r>
      <w:r w:rsidR="00F07A83" w:rsidRPr="00AE33D5">
        <w:t xml:space="preserve">w zależności od aktywnego uczestnictwa studenta w zajęciach w ciągu całego semestru. </w:t>
      </w:r>
      <w:r w:rsidR="00396145">
        <w:t xml:space="preserve">Maksymalnie za aktywność będzie można uzyskać 20 punktów. </w:t>
      </w:r>
    </w:p>
    <w:p w:rsidR="00F07A83" w:rsidRPr="00AE33D5" w:rsidRDefault="00F07A83" w:rsidP="0098343F">
      <w:pPr>
        <w:ind w:left="360"/>
        <w:jc w:val="both"/>
      </w:pPr>
    </w:p>
    <w:p w:rsidR="0034347D" w:rsidRPr="00AE33D5" w:rsidRDefault="0034347D" w:rsidP="0098343F">
      <w:pPr>
        <w:ind w:left="360"/>
        <w:jc w:val="both"/>
      </w:pPr>
      <w:r w:rsidRPr="00AE33D5">
        <w:t>Ocena końcowa zostanie przyznana według następującego klucza:</w:t>
      </w:r>
    </w:p>
    <w:p w:rsidR="0034347D" w:rsidRPr="00AE33D5" w:rsidRDefault="0034347D" w:rsidP="0098343F">
      <w:pPr>
        <w:ind w:left="360"/>
        <w:jc w:val="both"/>
      </w:pPr>
      <w:r w:rsidRPr="00AE33D5">
        <w:t xml:space="preserve">Ocena dostateczna: </w:t>
      </w:r>
      <w:r w:rsidRPr="00AE33D5">
        <w:tab/>
      </w:r>
      <w:r w:rsidRPr="00AE33D5">
        <w:tab/>
        <w:t>60-71 punktów,</w:t>
      </w:r>
    </w:p>
    <w:p w:rsidR="0034347D" w:rsidRPr="00AE33D5" w:rsidRDefault="0034347D" w:rsidP="0098343F">
      <w:pPr>
        <w:ind w:left="360"/>
        <w:jc w:val="both"/>
      </w:pPr>
      <w:r w:rsidRPr="00AE33D5">
        <w:t xml:space="preserve">Ocena dostateczna plus: </w:t>
      </w:r>
      <w:r w:rsidRPr="00AE33D5">
        <w:tab/>
      </w:r>
      <w:r w:rsidRPr="00AE33D5">
        <w:tab/>
        <w:t>72-83 punktów,</w:t>
      </w:r>
    </w:p>
    <w:p w:rsidR="0034347D" w:rsidRPr="00AE33D5" w:rsidRDefault="0034347D" w:rsidP="0098343F">
      <w:pPr>
        <w:ind w:left="360"/>
        <w:jc w:val="both"/>
      </w:pPr>
      <w:r w:rsidRPr="00AE33D5">
        <w:t>Ocena dobra:</w:t>
      </w:r>
      <w:r w:rsidRPr="00AE33D5">
        <w:tab/>
      </w:r>
      <w:r w:rsidRPr="00AE33D5">
        <w:tab/>
      </w:r>
      <w:r w:rsidRPr="00AE33D5">
        <w:tab/>
        <w:t>84-95 punktów,</w:t>
      </w:r>
    </w:p>
    <w:p w:rsidR="0034347D" w:rsidRPr="00AE33D5" w:rsidRDefault="0034347D" w:rsidP="0098343F">
      <w:pPr>
        <w:ind w:left="360"/>
        <w:jc w:val="both"/>
      </w:pPr>
      <w:r w:rsidRPr="00AE33D5">
        <w:t>Ocena dobra plus:</w:t>
      </w:r>
      <w:r w:rsidRPr="00AE33D5">
        <w:tab/>
      </w:r>
      <w:r w:rsidRPr="00AE33D5">
        <w:tab/>
      </w:r>
      <w:r w:rsidRPr="00AE33D5">
        <w:tab/>
        <w:t>96-107 punktów,</w:t>
      </w:r>
    </w:p>
    <w:p w:rsidR="0034347D" w:rsidRPr="00AE33D5" w:rsidRDefault="00396145" w:rsidP="0098343F">
      <w:pPr>
        <w:ind w:left="360"/>
        <w:jc w:val="both"/>
      </w:pPr>
      <w:r>
        <w:t xml:space="preserve">Ocena bardzo dobra: </w:t>
      </w:r>
      <w:r>
        <w:tab/>
      </w:r>
      <w:r>
        <w:tab/>
        <w:t>108-12</w:t>
      </w:r>
      <w:r w:rsidR="0034347D" w:rsidRPr="00AE33D5">
        <w:t xml:space="preserve">0 punktów </w:t>
      </w:r>
    </w:p>
    <w:p w:rsidR="00F07A83" w:rsidRPr="00AE33D5" w:rsidRDefault="00F07A83" w:rsidP="0098343F">
      <w:pPr>
        <w:ind w:left="360"/>
        <w:jc w:val="both"/>
      </w:pPr>
    </w:p>
    <w:p w:rsidR="00490F78" w:rsidRDefault="00490F78" w:rsidP="0098343F">
      <w:pPr>
        <w:ind w:left="360"/>
        <w:jc w:val="both"/>
      </w:pPr>
      <w:r w:rsidRPr="00AE33D5">
        <w:lastRenderedPageBreak/>
        <w:t xml:space="preserve">Nieobecność nieusprawiedliwiona na kolokwium oznacza </w:t>
      </w:r>
      <w:r w:rsidR="00114E6F">
        <w:t xml:space="preserve">uzyskanie 0 punktów </w:t>
      </w:r>
      <w:r w:rsidRPr="00AE33D5">
        <w:t>(nie można tłumaczyć jej np. wykorzystaniem w tym dniu dopuszczalnej nieobecności).</w:t>
      </w:r>
    </w:p>
    <w:p w:rsidR="00490F78" w:rsidRDefault="00490F78" w:rsidP="0098343F">
      <w:pPr>
        <w:ind w:left="360"/>
        <w:jc w:val="both"/>
      </w:pPr>
    </w:p>
    <w:p w:rsidR="00490F78" w:rsidRDefault="00490F78" w:rsidP="0098343F">
      <w:pPr>
        <w:ind w:left="360"/>
        <w:jc w:val="both"/>
      </w:pPr>
      <w:r>
        <w:t>Tematyka każdych kolejnych zajęć będzie podawana z tygodniowym wyprzedzeniem. Podczas zajęć zachęcamy studentów do aktywności, w szczególnych przypadkach prowadzący będą wer</w:t>
      </w:r>
      <w:r w:rsidR="00114E6F">
        <w:t>yfikować przygotowanie studentów do zajęć przez zadawanie pytań.</w:t>
      </w:r>
      <w:r>
        <w:t xml:space="preserve"> </w:t>
      </w:r>
    </w:p>
    <w:p w:rsidR="00490F78" w:rsidRDefault="00490F78" w:rsidP="0098343F">
      <w:pPr>
        <w:ind w:left="360"/>
        <w:jc w:val="both"/>
      </w:pPr>
    </w:p>
    <w:p w:rsidR="00EB67AB" w:rsidRDefault="00490F78" w:rsidP="00EB67AB">
      <w:pPr>
        <w:ind w:left="360"/>
      </w:pPr>
      <w:r>
        <w:t>LITERATURA</w:t>
      </w:r>
      <w:r w:rsidR="003A1967">
        <w:t xml:space="preserve"> (alfabetycznie)</w:t>
      </w:r>
      <w:r>
        <w:t xml:space="preserve">: </w:t>
      </w:r>
      <w:r>
        <w:br/>
      </w:r>
      <w:r w:rsidR="00EB67AB">
        <w:t xml:space="preserve">1. </w:t>
      </w:r>
      <w:r>
        <w:t xml:space="preserve">Barcik J., Srogosz T., </w:t>
      </w:r>
      <w:r w:rsidRPr="00EB67AB">
        <w:rPr>
          <w:i/>
        </w:rPr>
        <w:t>Prawo międzynaro</w:t>
      </w:r>
      <w:r w:rsidR="00EB67AB" w:rsidRPr="00EB67AB">
        <w:rPr>
          <w:i/>
        </w:rPr>
        <w:t>dowe publiczne</w:t>
      </w:r>
      <w:r w:rsidR="009467D0">
        <w:t>;</w:t>
      </w:r>
    </w:p>
    <w:p w:rsidR="009467D0" w:rsidRDefault="00EB67AB" w:rsidP="003A1967">
      <w:pPr>
        <w:ind w:left="360"/>
        <w:jc w:val="both"/>
      </w:pPr>
      <w:r>
        <w:t>2.</w:t>
      </w:r>
      <w:r w:rsidR="009202B8">
        <w:t xml:space="preserve"> </w:t>
      </w:r>
      <w:r>
        <w:t xml:space="preserve">Bierzanek R., Symonides J., </w:t>
      </w:r>
      <w:r w:rsidR="00490F78" w:rsidRPr="00EB67AB">
        <w:rPr>
          <w:i/>
        </w:rPr>
        <w:t>Prawo międzynarodowe publiczne</w:t>
      </w:r>
      <w:r w:rsidR="009467D0">
        <w:t>;</w:t>
      </w:r>
    </w:p>
    <w:p w:rsidR="00EB67AB" w:rsidRDefault="009467D0" w:rsidP="009467D0">
      <w:pPr>
        <w:ind w:left="360"/>
      </w:pPr>
      <w:r>
        <w:t>3. Cała</w:t>
      </w:r>
      <w:r w:rsidR="009202B8">
        <w:t>-</w:t>
      </w:r>
      <w:r>
        <w:t xml:space="preserve">Wacinkiewicz E., </w:t>
      </w:r>
      <w:r w:rsidRPr="009467D0">
        <w:rPr>
          <w:i/>
        </w:rPr>
        <w:t>Podstawy systemu prawa międzynarodowego. Pytania, testy, kazusy, tablice</w:t>
      </w:r>
      <w:r>
        <w:t>;</w:t>
      </w:r>
      <w:r w:rsidR="00490F78">
        <w:br/>
        <w:t xml:space="preserve">3.Czapliński W., Wyrozumska A., </w:t>
      </w:r>
      <w:r w:rsidR="00490F78" w:rsidRPr="00EB67AB">
        <w:rPr>
          <w:i/>
        </w:rPr>
        <w:t>Prawo międzynarodowe publiczne. Zagadn</w:t>
      </w:r>
      <w:r w:rsidR="00EB67AB" w:rsidRPr="00EB67AB">
        <w:rPr>
          <w:i/>
        </w:rPr>
        <w:t>ienia systemowe</w:t>
      </w:r>
      <w:r>
        <w:t>;</w:t>
      </w:r>
    </w:p>
    <w:p w:rsidR="00EB67AB" w:rsidRDefault="00EB67AB" w:rsidP="003A1967">
      <w:pPr>
        <w:ind w:left="360"/>
        <w:jc w:val="both"/>
      </w:pPr>
      <w:r>
        <w:t xml:space="preserve">4. </w:t>
      </w:r>
      <w:r w:rsidR="00490F78">
        <w:t xml:space="preserve">Góralczyk W., Sawicki S., </w:t>
      </w:r>
      <w:r w:rsidR="00490F78" w:rsidRPr="00EB67AB">
        <w:rPr>
          <w:i/>
        </w:rPr>
        <w:t>Prawo międzynarodowe publi</w:t>
      </w:r>
      <w:r w:rsidRPr="00EB67AB">
        <w:rPr>
          <w:i/>
        </w:rPr>
        <w:t>czne w zarysie</w:t>
      </w:r>
      <w:r w:rsidR="009467D0">
        <w:t>;</w:t>
      </w:r>
    </w:p>
    <w:p w:rsidR="00EB67AB" w:rsidRDefault="00EB67AB" w:rsidP="003A1967">
      <w:pPr>
        <w:ind w:left="360"/>
        <w:jc w:val="both"/>
      </w:pPr>
      <w:r>
        <w:t xml:space="preserve">5. </w:t>
      </w:r>
      <w:r w:rsidR="00490F78">
        <w:t>Przyborowska</w:t>
      </w:r>
      <w:r w:rsidR="009202B8">
        <w:t>-</w:t>
      </w:r>
      <w:r w:rsidR="00490F78">
        <w:t>Klimczak A., Pyć D.</w:t>
      </w:r>
      <w:r w:rsidR="00E56FFF">
        <w:t xml:space="preserve"> (red.)</w:t>
      </w:r>
      <w:r w:rsidR="00490F78">
        <w:t xml:space="preserve">, </w:t>
      </w:r>
      <w:r w:rsidR="00490F78" w:rsidRPr="00EB67AB">
        <w:rPr>
          <w:i/>
        </w:rPr>
        <w:t>Leksykon prawa międzynarodowego</w:t>
      </w:r>
      <w:r w:rsidR="00830731">
        <w:rPr>
          <w:i/>
        </w:rPr>
        <w:t xml:space="preserve"> publicznego</w:t>
      </w:r>
      <w:r w:rsidR="00490F78" w:rsidRPr="00EB67AB">
        <w:rPr>
          <w:i/>
        </w:rPr>
        <w:t>. 100 podstawowy</w:t>
      </w:r>
      <w:r w:rsidRPr="00EB67AB">
        <w:rPr>
          <w:i/>
        </w:rPr>
        <w:t>ch pojęć</w:t>
      </w:r>
      <w:r>
        <w:t>, Warszawa 2012.</w:t>
      </w:r>
    </w:p>
    <w:p w:rsidR="00490F78" w:rsidRDefault="00EB67AB" w:rsidP="00EB67AB">
      <w:pPr>
        <w:ind w:left="360"/>
      </w:pPr>
      <w:r>
        <w:t xml:space="preserve">6. </w:t>
      </w:r>
      <w:r w:rsidR="00490F78">
        <w:t xml:space="preserve">Shaw M., </w:t>
      </w:r>
      <w:r w:rsidR="00490F78" w:rsidRPr="00EB67AB">
        <w:rPr>
          <w:i/>
        </w:rPr>
        <w:t>Prawo międzynarodowe</w:t>
      </w:r>
      <w:r w:rsidR="009467D0">
        <w:t>.</w:t>
      </w:r>
    </w:p>
    <w:p w:rsidR="009467D0" w:rsidRDefault="009467D0" w:rsidP="00EB67AB">
      <w:pPr>
        <w:ind w:left="360"/>
      </w:pPr>
      <w:r>
        <w:t>[w przypadku podręczników nie podano daty wydania – chodzi o najnowsze wydanie]</w:t>
      </w:r>
    </w:p>
    <w:p w:rsidR="00EB67AB" w:rsidRDefault="00EB67AB" w:rsidP="00EB67AB">
      <w:pPr>
        <w:tabs>
          <w:tab w:val="left" w:pos="2550"/>
        </w:tabs>
      </w:pPr>
      <w:r>
        <w:tab/>
      </w:r>
    </w:p>
    <w:p w:rsidR="00EB67AB" w:rsidRDefault="00490F78" w:rsidP="00EB67AB">
      <w:pPr>
        <w:jc w:val="both"/>
      </w:pPr>
      <w:r>
        <w:t xml:space="preserve">Podczas ćwiczeń konieczne będzie posługiwanie się tekstami źródłowymi, pomocny może zatem być wybór dokumentów: </w:t>
      </w:r>
      <w:r w:rsidR="00EB67AB">
        <w:t xml:space="preserve">Przyborowska – Klimczak A., </w:t>
      </w:r>
      <w:r w:rsidR="00EB67AB" w:rsidRPr="00EB67AB">
        <w:rPr>
          <w:i/>
        </w:rPr>
        <w:t>Prawo międzynarodowe publiczne. Wybór dokumentów</w:t>
      </w:r>
      <w:r w:rsidR="00E703E2">
        <w:t>, Lublin 200</w:t>
      </w:r>
      <w:r w:rsidR="009202B8">
        <w:t>6</w:t>
      </w:r>
      <w:r w:rsidR="00EB67AB">
        <w:t xml:space="preserve">. </w:t>
      </w:r>
      <w:r w:rsidR="009202B8">
        <w:t>Będziemy</w:t>
      </w:r>
      <w:bookmarkStart w:id="0" w:name="_GoBack"/>
      <w:bookmarkEnd w:id="0"/>
      <w:r w:rsidR="00EB67AB">
        <w:t xml:space="preserve"> też korzystać z orzecznictwa (wybór orzecznictwa w j. polskim np. Daranowski P., Połatyńska J., </w:t>
      </w:r>
      <w:r w:rsidR="00EB67AB" w:rsidRPr="00EB67AB">
        <w:rPr>
          <w:i/>
        </w:rPr>
        <w:t>Prawo międzynarodowe publiczne. Wybór orzecznictwa</w:t>
      </w:r>
      <w:r w:rsidR="00EB67AB">
        <w:t>, Warszawa 2011</w:t>
      </w:r>
      <w:r w:rsidR="004A00D9">
        <w:t>)</w:t>
      </w:r>
      <w:r w:rsidR="00EB67AB">
        <w:t xml:space="preserve">. </w:t>
      </w:r>
    </w:p>
    <w:p w:rsidR="00490F78" w:rsidRDefault="00490F78" w:rsidP="00EB67AB">
      <w:pPr>
        <w:jc w:val="both"/>
      </w:pPr>
    </w:p>
    <w:p w:rsidR="00490F78" w:rsidRDefault="00490F78" w:rsidP="00EB67AB">
      <w:pPr>
        <w:ind w:left="360"/>
        <w:jc w:val="both"/>
      </w:pPr>
    </w:p>
    <w:p w:rsidR="00490F78" w:rsidRDefault="00490F78" w:rsidP="00EB67AB">
      <w:pPr>
        <w:ind w:left="360"/>
        <w:jc w:val="both"/>
      </w:pPr>
    </w:p>
    <w:p w:rsidR="00490F78" w:rsidRDefault="00490F78" w:rsidP="00EB67AB">
      <w:pPr>
        <w:ind w:left="360"/>
        <w:jc w:val="both"/>
      </w:pPr>
    </w:p>
    <w:p w:rsidR="00C26BA7" w:rsidRDefault="00C26BA7" w:rsidP="00D62036">
      <w:pPr>
        <w:jc w:val="both"/>
      </w:pPr>
    </w:p>
    <w:p w:rsidR="00C26BA7" w:rsidRDefault="00C26BA7" w:rsidP="00D62036">
      <w:pPr>
        <w:jc w:val="both"/>
      </w:pPr>
    </w:p>
    <w:p w:rsidR="00D62036" w:rsidRPr="00D62036" w:rsidRDefault="00D62036" w:rsidP="00D62036">
      <w:pPr>
        <w:jc w:val="both"/>
      </w:pPr>
    </w:p>
    <w:sectPr w:rsidR="00D62036" w:rsidRPr="00D62036" w:rsidSect="0010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EAA"/>
    <w:multiLevelType w:val="hybridMultilevel"/>
    <w:tmpl w:val="0A549A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70556"/>
    <w:multiLevelType w:val="hybridMultilevel"/>
    <w:tmpl w:val="E1C60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117288"/>
    <w:multiLevelType w:val="hybridMultilevel"/>
    <w:tmpl w:val="6B503562"/>
    <w:lvl w:ilvl="0" w:tplc="BA667CC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1B0920"/>
    <w:multiLevelType w:val="hybridMultilevel"/>
    <w:tmpl w:val="3D148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D62036"/>
    <w:rsid w:val="00011F67"/>
    <w:rsid w:val="00107F83"/>
    <w:rsid w:val="00114E6F"/>
    <w:rsid w:val="00132C74"/>
    <w:rsid w:val="002F43D0"/>
    <w:rsid w:val="0034347D"/>
    <w:rsid w:val="003602AC"/>
    <w:rsid w:val="00396145"/>
    <w:rsid w:val="003A1967"/>
    <w:rsid w:val="003E0D9C"/>
    <w:rsid w:val="00464612"/>
    <w:rsid w:val="00490F78"/>
    <w:rsid w:val="004A00D9"/>
    <w:rsid w:val="004F28F5"/>
    <w:rsid w:val="004F63B9"/>
    <w:rsid w:val="00523F58"/>
    <w:rsid w:val="005A2456"/>
    <w:rsid w:val="007D0B83"/>
    <w:rsid w:val="008023F4"/>
    <w:rsid w:val="008244DE"/>
    <w:rsid w:val="00830731"/>
    <w:rsid w:val="00850E90"/>
    <w:rsid w:val="009202B8"/>
    <w:rsid w:val="00940739"/>
    <w:rsid w:val="009467D0"/>
    <w:rsid w:val="00982E71"/>
    <w:rsid w:val="0098343F"/>
    <w:rsid w:val="00A40DAD"/>
    <w:rsid w:val="00AC098B"/>
    <w:rsid w:val="00AE33D5"/>
    <w:rsid w:val="00BA4988"/>
    <w:rsid w:val="00C26BA7"/>
    <w:rsid w:val="00CC40AD"/>
    <w:rsid w:val="00D62036"/>
    <w:rsid w:val="00DC4431"/>
    <w:rsid w:val="00DE4426"/>
    <w:rsid w:val="00E56FFF"/>
    <w:rsid w:val="00E703E2"/>
    <w:rsid w:val="00EB67AB"/>
    <w:rsid w:val="00F07A83"/>
    <w:rsid w:val="00F4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F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961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961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00D9"/>
    <w:pPr>
      <w:ind w:left="720"/>
      <w:contextualSpacing/>
    </w:pPr>
  </w:style>
  <w:style w:type="character" w:styleId="Odwoaniedokomentarza">
    <w:name w:val="annotation reference"/>
    <w:basedOn w:val="Domylnaczcionkaakapitu"/>
    <w:rsid w:val="00114E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4E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4E6F"/>
  </w:style>
  <w:style w:type="paragraph" w:styleId="Tematkomentarza">
    <w:name w:val="annotation subject"/>
    <w:basedOn w:val="Tekstkomentarza"/>
    <w:next w:val="Tekstkomentarza"/>
    <w:link w:val="TematkomentarzaZnak"/>
    <w:rsid w:val="00114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4E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PRAWO MIĘDZYNARODOWE PUBLICZNE</vt:lpstr>
    </vt:vector>
  </TitlesOfParts>
  <Company>kul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PRAWO MIĘDZYNARODOWE PUBLICZNE</dc:title>
  <dc:creator>szara</dc:creator>
  <cp:lastModifiedBy>Dell</cp:lastModifiedBy>
  <cp:revision>3</cp:revision>
  <cp:lastPrinted>2018-10-01T07:19:00Z</cp:lastPrinted>
  <dcterms:created xsi:type="dcterms:W3CDTF">2020-10-05T07:21:00Z</dcterms:created>
  <dcterms:modified xsi:type="dcterms:W3CDTF">2020-10-05T07:25:00Z</dcterms:modified>
</cp:coreProperties>
</file>