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016BE" w14:textId="77777777" w:rsidR="00673C07" w:rsidRPr="000E3E66" w:rsidRDefault="00B4443D">
      <w:p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KARTA PRZEDMIOTU </w:t>
      </w:r>
    </w:p>
    <w:p w14:paraId="117FC3C9" w14:textId="77777777" w:rsidR="00673C07" w:rsidRPr="000E3E66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673C07" w:rsidRPr="000E3E66" w14:paraId="426B34FD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FAD" w14:textId="77777777" w:rsidR="00673C07" w:rsidRPr="000E3E66" w:rsidRDefault="00B4443D" w:rsidP="00BE07B5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FC0" w14:textId="6098E4B6" w:rsidR="00673C07" w:rsidRPr="000E3E66" w:rsidRDefault="00653B71" w:rsidP="00BE07B5">
            <w:pPr>
              <w:spacing w:after="0"/>
              <w:rPr>
                <w:color w:val="auto"/>
                <w:lang w:val="pl-PL"/>
              </w:rPr>
            </w:pPr>
            <w:r>
              <w:rPr>
                <w:rFonts w:cs="Arial"/>
                <w:color w:val="auto"/>
                <w:lang w:val="pl-PL"/>
              </w:rPr>
              <w:t>K</w:t>
            </w:r>
            <w:r w:rsidR="000E3E66" w:rsidRPr="000E3E66">
              <w:rPr>
                <w:rFonts w:cs="Arial"/>
                <w:color w:val="auto"/>
                <w:lang w:val="pl-PL"/>
              </w:rPr>
              <w:t>ulturoznawstw</w:t>
            </w:r>
            <w:r>
              <w:rPr>
                <w:rFonts w:cs="Arial"/>
                <w:color w:val="auto"/>
                <w:lang w:val="pl-PL"/>
              </w:rPr>
              <w:t>o</w:t>
            </w:r>
            <w:r w:rsidR="000E3E66" w:rsidRPr="000E3E66">
              <w:rPr>
                <w:rFonts w:cs="Arial"/>
                <w:color w:val="auto"/>
                <w:lang w:val="pl-PL"/>
              </w:rPr>
              <w:t xml:space="preserve"> niderlandzkiego</w:t>
            </w:r>
          </w:p>
        </w:tc>
      </w:tr>
      <w:tr w:rsidR="00673C07" w:rsidRPr="000E3E66" w14:paraId="11CA370B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864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FCF0" w14:textId="318DA35E" w:rsidR="00673C07" w:rsidRPr="00AE7F1C" w:rsidRDefault="000E3E66" w:rsidP="00BE07B5">
            <w:pPr>
              <w:spacing w:after="0"/>
              <w:rPr>
                <w:lang w:val="en-GB"/>
              </w:rPr>
            </w:pPr>
            <w:r w:rsidRPr="00AE7F1C">
              <w:rPr>
                <w:lang w:val="en-GB"/>
              </w:rPr>
              <w:t>Dutch cultural studies</w:t>
            </w:r>
          </w:p>
        </w:tc>
      </w:tr>
      <w:tr w:rsidR="00673C07" w:rsidRPr="000E3E66" w14:paraId="4070ADEF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48C9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BCD" w14:textId="2F66111E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filologia </w:t>
            </w:r>
            <w:r w:rsidR="008825C8" w:rsidRPr="000E3E66">
              <w:rPr>
                <w:lang w:val="pl-PL"/>
              </w:rPr>
              <w:t>niderlandzka</w:t>
            </w:r>
          </w:p>
        </w:tc>
      </w:tr>
      <w:tr w:rsidR="00673C07" w:rsidRPr="000E3E66" w14:paraId="7AB63F9E" w14:textId="77777777" w:rsidTr="00BE07B5">
        <w:trPr>
          <w:trHeight w:val="28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8A55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B6E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II</w:t>
            </w:r>
          </w:p>
        </w:tc>
      </w:tr>
      <w:tr w:rsidR="00673C07" w:rsidRPr="000E3E66" w14:paraId="546BD3EE" w14:textId="77777777" w:rsidTr="00BE07B5">
        <w:trPr>
          <w:trHeight w:val="339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FF8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1267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stacjonarne</w:t>
            </w:r>
          </w:p>
        </w:tc>
      </w:tr>
      <w:tr w:rsidR="00673C07" w:rsidRPr="000E3E66" w14:paraId="0E68BDB8" w14:textId="77777777" w:rsidTr="00BE07B5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3B7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DEB7" w14:textId="2F77E01A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nauki o kulturze i religii</w:t>
            </w:r>
          </w:p>
        </w:tc>
      </w:tr>
      <w:tr w:rsidR="00673C07" w:rsidRPr="000E3E66" w14:paraId="36778361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7E7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7245" w14:textId="38F6C453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Język </w:t>
            </w:r>
            <w:r w:rsidR="000E3E66">
              <w:rPr>
                <w:lang w:val="pl-PL"/>
              </w:rPr>
              <w:t>niderlandzki</w:t>
            </w:r>
          </w:p>
        </w:tc>
      </w:tr>
    </w:tbl>
    <w:p w14:paraId="21F7F090" w14:textId="77777777" w:rsidR="00673C07" w:rsidRPr="000E3E66" w:rsidRDefault="00673C07">
      <w:pPr>
        <w:pStyle w:val="Odstavecseseznamem"/>
        <w:widowControl w:val="0"/>
        <w:numPr>
          <w:ilvl w:val="0"/>
          <w:numId w:val="2"/>
        </w:numPr>
        <w:spacing w:line="240" w:lineRule="auto"/>
        <w:rPr>
          <w:lang w:val="pl-PL"/>
        </w:rPr>
      </w:pPr>
    </w:p>
    <w:p w14:paraId="3FD4935D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673C07" w:rsidRPr="000E3E66" w14:paraId="041AAD2B" w14:textId="77777777" w:rsidTr="0077198E">
        <w:trPr>
          <w:trHeight w:val="19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2276" w14:textId="77777777" w:rsidR="00673C07" w:rsidRPr="000E3E66" w:rsidRDefault="00B4443D" w:rsidP="0077198E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F43E" w14:textId="49B58084" w:rsidR="00673C07" w:rsidRPr="00AD2933" w:rsidRDefault="000E3E66" w:rsidP="0077198E">
            <w:pPr>
              <w:spacing w:after="0" w:line="240" w:lineRule="auto"/>
              <w:rPr>
                <w:lang w:val="de-DE"/>
              </w:rPr>
            </w:pPr>
            <w:r w:rsidRPr="00AD2933">
              <w:rPr>
                <w:lang w:val="de-DE"/>
              </w:rPr>
              <w:t xml:space="preserve">Prof. </w:t>
            </w:r>
            <w:proofErr w:type="spellStart"/>
            <w:r w:rsidRPr="00AD2933">
              <w:rPr>
                <w:lang w:val="de-DE"/>
              </w:rPr>
              <w:t>dr</w:t>
            </w:r>
            <w:proofErr w:type="spellEnd"/>
            <w:r w:rsidRPr="00AD2933">
              <w:rPr>
                <w:lang w:val="de-DE"/>
              </w:rPr>
              <w:t xml:space="preserve"> hab. Wilken Engelbrecht</w:t>
            </w:r>
          </w:p>
        </w:tc>
      </w:tr>
    </w:tbl>
    <w:p w14:paraId="0E71F868" w14:textId="77777777" w:rsidR="00673C07" w:rsidRPr="00AD2933" w:rsidRDefault="00673C07" w:rsidP="0077198E">
      <w:pPr>
        <w:widowControl w:val="0"/>
        <w:spacing w:after="0" w:line="240" w:lineRule="auto"/>
        <w:rPr>
          <w:lang w:val="de-DE"/>
        </w:rPr>
      </w:pPr>
    </w:p>
    <w:p w14:paraId="45536095" w14:textId="77777777" w:rsidR="00673C07" w:rsidRPr="00AD2933" w:rsidRDefault="00673C07" w:rsidP="0077198E">
      <w:pPr>
        <w:widowControl w:val="0"/>
        <w:spacing w:after="0" w:line="240" w:lineRule="auto"/>
        <w:rPr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673C07" w:rsidRPr="000E3E66" w14:paraId="183D1D1A" w14:textId="77777777">
        <w:trPr>
          <w:trHeight w:val="80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3D0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 xml:space="preserve">Forma zajęć </w:t>
            </w:r>
            <w:r w:rsidRPr="000E3E66">
              <w:rPr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EAAD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E010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B14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Punkty ECTS</w:t>
            </w:r>
          </w:p>
        </w:tc>
      </w:tr>
      <w:tr w:rsidR="00673C07" w:rsidRPr="000E3E66" w14:paraId="02DA67EB" w14:textId="77777777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260B" w14:textId="05941ABE" w:rsidR="002E5234" w:rsidRPr="000E3E66" w:rsidRDefault="002E5234" w:rsidP="00D118D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B4443D" w:rsidRPr="000E3E66">
              <w:rPr>
                <w:lang w:val="pl-PL"/>
              </w:rPr>
              <w:t>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5C4C" w14:textId="1DD29D4E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A374" w14:textId="1D58E42D" w:rsidR="002E5234" w:rsidRPr="000E3E66" w:rsidRDefault="008A388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Rok II, semestr </w:t>
            </w:r>
            <w:r w:rsidR="000E3E66">
              <w:rPr>
                <w:lang w:val="pl-PL"/>
              </w:rPr>
              <w:t>I</w:t>
            </w:r>
            <w:r w:rsidR="00653B71">
              <w:rPr>
                <w:lang w:val="pl-PL"/>
              </w:rPr>
              <w:t>V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7CCB" w14:textId="1C50E120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14:paraId="3AECD02E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9FB45DC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673C07" w:rsidRPr="000E3E66" w14:paraId="591694D5" w14:textId="77777777" w:rsidTr="000E3E66">
        <w:trPr>
          <w:trHeight w:val="18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D7E6" w14:textId="77777777" w:rsidR="00673C07" w:rsidRPr="000E3E66" w:rsidRDefault="00B4443D" w:rsidP="000E3E66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5744" w14:textId="4DC42128" w:rsidR="00673C07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Znajomość języka niderlandzkiego na poz</w:t>
            </w:r>
            <w:r>
              <w:rPr>
                <w:rFonts w:ascii="Calibri" w:hAnsi="Calibri" w:cs="Calibri"/>
                <w:lang w:val="pl-PL"/>
              </w:rPr>
              <w:t>i</w:t>
            </w:r>
            <w:r w:rsidRPr="000E3E66">
              <w:rPr>
                <w:rFonts w:ascii="Calibri" w:hAnsi="Calibri" w:cs="Calibri"/>
                <w:lang w:val="pl-PL"/>
              </w:rPr>
              <w:t xml:space="preserve">omie </w:t>
            </w:r>
            <w:r w:rsidR="00134FAC">
              <w:rPr>
                <w:rFonts w:ascii="Calibri" w:hAnsi="Calibri" w:cs="Calibri"/>
                <w:lang w:val="pl-PL"/>
              </w:rPr>
              <w:t>C1</w:t>
            </w:r>
            <w:r w:rsidR="0077198E">
              <w:rPr>
                <w:rFonts w:ascii="Calibri" w:hAnsi="Calibri" w:cs="Calibri"/>
                <w:lang w:val="pl-PL"/>
              </w:rPr>
              <w:t xml:space="preserve"> do C</w:t>
            </w:r>
            <w:r w:rsidR="00134FAC">
              <w:rPr>
                <w:rFonts w:ascii="Calibri" w:hAnsi="Calibri" w:cs="Calibri"/>
                <w:lang w:val="pl-PL"/>
              </w:rPr>
              <w:t>2</w:t>
            </w:r>
            <w:r w:rsidRPr="000E3E66">
              <w:rPr>
                <w:rFonts w:ascii="Calibri" w:hAnsi="Calibri" w:cs="Calibri"/>
                <w:lang w:val="pl-PL"/>
              </w:rPr>
              <w:t xml:space="preserve"> ESOKJ</w:t>
            </w:r>
          </w:p>
        </w:tc>
      </w:tr>
      <w:tr w:rsidR="000E3E66" w:rsidRPr="000E3E66" w14:paraId="0E704DE8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0FC" w14:textId="350E35BA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A40D" w14:textId="0B459BED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analizy źródeł w języku niderlandzkim na poziomie egzaminu licencjackiego Filologii Niderlandzkiej</w:t>
            </w:r>
          </w:p>
        </w:tc>
      </w:tr>
      <w:tr w:rsidR="000E3E66" w:rsidRPr="000E3E66" w14:paraId="54A1A7BB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9353" w14:textId="7D2FF982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C12" w14:textId="58ACA140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czytania źródeł w języku niderlandzkim ze zrozumieniem sporządzania akademickich prac pisemnych w języku niderlandzkim oraz zabierania głosu w dyskusji o kulturze</w:t>
            </w:r>
          </w:p>
        </w:tc>
      </w:tr>
    </w:tbl>
    <w:p w14:paraId="52589402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B32E865" w14:textId="77777777" w:rsidR="00673C07" w:rsidRPr="000E3E66" w:rsidRDefault="00B4443D">
      <w:pPr>
        <w:pStyle w:val="Odstavecseseznamem"/>
        <w:numPr>
          <w:ilvl w:val="0"/>
          <w:numId w:val="3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0E3E66" w14:paraId="3130C6E5" w14:textId="77777777" w:rsidTr="0077198E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219" w14:textId="5A006481" w:rsidR="00673C07" w:rsidRPr="004D1B58" w:rsidRDefault="00B4443D" w:rsidP="0077198E">
            <w:pPr>
              <w:spacing w:after="0"/>
              <w:rPr>
                <w:color w:val="auto"/>
                <w:lang w:val="pl-PL"/>
              </w:rPr>
            </w:pPr>
            <w:r w:rsidRPr="004D1B58">
              <w:rPr>
                <w:color w:val="auto"/>
                <w:lang w:val="pl-PL"/>
              </w:rPr>
              <w:t xml:space="preserve">C1 </w:t>
            </w:r>
            <w:r w:rsidR="004D1B58" w:rsidRPr="009F2D4B">
              <w:rPr>
                <w:b/>
                <w:bCs/>
                <w:color w:val="auto"/>
                <w:lang w:val="pl-PL"/>
              </w:rPr>
              <w:t>Poziom docelowy języka niderlandzkiego: C</w:t>
            </w:r>
            <w:r w:rsidR="008A3886" w:rsidRPr="009F2D4B">
              <w:rPr>
                <w:b/>
                <w:bCs/>
                <w:color w:val="auto"/>
                <w:lang w:val="pl-PL"/>
              </w:rPr>
              <w:t>2</w:t>
            </w:r>
          </w:p>
        </w:tc>
      </w:tr>
      <w:tr w:rsidR="00673C07" w:rsidRPr="000E3E66" w14:paraId="53ADC06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28E" w14:textId="4DD072A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C2</w:t>
            </w:r>
            <w:r w:rsidR="004D1B58">
              <w:rPr>
                <w:lang w:val="pl-PL"/>
              </w:rPr>
              <w:t xml:space="preserve"> L</w:t>
            </w:r>
            <w:r w:rsidR="004D1B58" w:rsidRPr="004D1B58">
              <w:rPr>
                <w:lang w:val="pl-PL"/>
              </w:rPr>
              <w:t xml:space="preserve">epsze zrozumienie </w:t>
            </w:r>
            <w:r w:rsidR="00142137" w:rsidRPr="00142137">
              <w:rPr>
                <w:lang w:val="pl-PL"/>
              </w:rPr>
              <w:t>zjawisk kulturowych</w:t>
            </w:r>
            <w:r w:rsidR="00142137">
              <w:rPr>
                <w:lang w:val="pl-PL"/>
              </w:rPr>
              <w:t xml:space="preserve"> </w:t>
            </w:r>
            <w:r w:rsidR="004D1B58" w:rsidRPr="004D1B58">
              <w:rPr>
                <w:lang w:val="pl-PL"/>
              </w:rPr>
              <w:t>Niderlandów</w:t>
            </w:r>
            <w:r w:rsidR="004D1B58">
              <w:rPr>
                <w:lang w:val="pl-PL"/>
              </w:rPr>
              <w:t xml:space="preserve"> i Belgii</w:t>
            </w:r>
          </w:p>
        </w:tc>
      </w:tr>
      <w:tr w:rsidR="00673C07" w:rsidRPr="000E3E66" w14:paraId="3A5CFBED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04F5" w14:textId="6512BC96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C3</w:t>
            </w:r>
            <w:r w:rsidR="004D1B58">
              <w:rPr>
                <w:lang w:val="pl-PL"/>
              </w:rPr>
              <w:t xml:space="preserve"> </w:t>
            </w:r>
            <w:r w:rsidR="002E5234" w:rsidRPr="002E5234">
              <w:rPr>
                <w:lang w:val="pl-PL"/>
              </w:rPr>
              <w:t xml:space="preserve">Dobra znajomość </w:t>
            </w:r>
            <w:r w:rsidR="00142137" w:rsidRPr="00142137">
              <w:rPr>
                <w:lang w:val="pl-PL"/>
              </w:rPr>
              <w:t>zjawisk kulturowych</w:t>
            </w:r>
            <w:r w:rsidR="00142137">
              <w:rPr>
                <w:lang w:val="pl-PL"/>
              </w:rPr>
              <w:t xml:space="preserve"> </w:t>
            </w:r>
            <w:r w:rsidR="002E5234" w:rsidRPr="002E5234">
              <w:rPr>
                <w:lang w:val="pl-PL"/>
              </w:rPr>
              <w:t>Niderlandów i Belgii</w:t>
            </w:r>
          </w:p>
        </w:tc>
      </w:tr>
    </w:tbl>
    <w:p w14:paraId="67DD997A" w14:textId="77777777" w:rsidR="00673C07" w:rsidRPr="000E3E66" w:rsidRDefault="00673C07">
      <w:pPr>
        <w:spacing w:after="0"/>
        <w:rPr>
          <w:lang w:val="pl-PL"/>
        </w:rPr>
      </w:pPr>
    </w:p>
    <w:p w14:paraId="3B55CBB1" w14:textId="77777777" w:rsidR="00673C07" w:rsidRPr="000E3E66" w:rsidRDefault="00B4443D">
      <w:pPr>
        <w:pStyle w:val="Odstavecseseznamem"/>
        <w:numPr>
          <w:ilvl w:val="0"/>
          <w:numId w:val="4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Efekty uczenia się dla przedmiotu wraz z odniesieniem do efektów kierunkowych</w:t>
      </w:r>
    </w:p>
    <w:p w14:paraId="29AB5036" w14:textId="38332BA5" w:rsidR="00673C07" w:rsidRPr="000E3E66" w:rsidRDefault="00673C0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Times New Roman" w:eastAsia="Times New Roman" w:hAnsi="Times New Roman" w:cs="Times New Roman"/>
          <w:color w:val="FF2600"/>
          <w:shd w:val="clear" w:color="auto" w:fill="FFFFFF"/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73C07" w:rsidRPr="000E3E66" w14:paraId="4E87D5C9" w14:textId="77777777" w:rsidTr="002E5234">
        <w:trPr>
          <w:trHeight w:val="59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2918" w14:textId="0EEB6281" w:rsidR="00673C07" w:rsidRPr="000E3E66" w:rsidRDefault="00B4443D" w:rsidP="002E5234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lastRenderedPageBreak/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68F1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BC9E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Odniesienie do efektu kierunkowego</w:t>
            </w:r>
          </w:p>
        </w:tc>
      </w:tr>
      <w:tr w:rsidR="00673C07" w:rsidRPr="000E3E66" w14:paraId="364A810D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586F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662ABE7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AAF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E90C" w14:textId="503A31D5" w:rsidR="00673C07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 xml:space="preserve">Student pogłębia swoją wiedzę na temat </w:t>
            </w:r>
            <w:r w:rsidR="00142137" w:rsidRPr="00142137">
              <w:rPr>
                <w:lang w:val="pl-PL"/>
              </w:rPr>
              <w:t>zjawisk kulturowych</w:t>
            </w:r>
            <w:r w:rsidR="00BB08E2">
              <w:rPr>
                <w:lang w:val="pl-PL"/>
              </w:rPr>
              <w:t xml:space="preserve"> </w:t>
            </w:r>
            <w:r w:rsidRPr="00D118D9">
              <w:rPr>
                <w:lang w:val="pl-PL"/>
              </w:rPr>
              <w:t>Niderlandów i Belgii oraz zna jej ogólny zarys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334B" w14:textId="73030F0E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K_W01, K_W02, K_W04</w:t>
            </w:r>
          </w:p>
        </w:tc>
      </w:tr>
      <w:tr w:rsidR="00673C07" w:rsidRPr="000E3E66" w14:paraId="3069D66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62CD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335" w14:textId="5F3CF97F" w:rsidR="00673C07" w:rsidRPr="000E3E66" w:rsidRDefault="00D118D9" w:rsidP="00D118D9">
            <w:pPr>
              <w:spacing w:after="0"/>
              <w:rPr>
                <w:lang w:val="pl-PL"/>
              </w:rPr>
            </w:pPr>
            <w:r w:rsidRPr="00D118D9">
              <w:rPr>
                <w:lang w:val="pl-PL"/>
              </w:rPr>
              <w:t xml:space="preserve">Student rozumie </w:t>
            </w:r>
            <w:r w:rsidR="00142137" w:rsidRPr="00142137">
              <w:rPr>
                <w:lang w:val="pl-PL"/>
              </w:rPr>
              <w:t>zjawisk kulturowych</w:t>
            </w:r>
            <w:r w:rsidRPr="00D118D9">
              <w:rPr>
                <w:lang w:val="pl-PL"/>
              </w:rPr>
              <w:t xml:space="preserve"> w Niderlandach i Belgii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D60F" w14:textId="35B19715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K_W05, K_W06</w:t>
            </w:r>
          </w:p>
        </w:tc>
      </w:tr>
      <w:tr w:rsidR="00673C07" w:rsidRPr="000E3E66" w14:paraId="718E2CC4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79A3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UMIEJĘTNOŚCI</w:t>
            </w:r>
          </w:p>
        </w:tc>
      </w:tr>
      <w:tr w:rsidR="00D118D9" w:rsidRPr="000E3E66" w14:paraId="7CC10C80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5123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A852" w14:textId="7CE78991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 xml:space="preserve">Student potrafi zapisać własne opinie na temat </w:t>
            </w:r>
            <w:r w:rsidR="00142137" w:rsidRPr="00142137">
              <w:rPr>
                <w:lang w:val="pl-PL"/>
              </w:rPr>
              <w:t>zjawisk kulturowych</w:t>
            </w:r>
            <w:r w:rsidR="00142137">
              <w:rPr>
                <w:lang w:val="pl-PL"/>
              </w:rPr>
              <w:t xml:space="preserve"> </w:t>
            </w:r>
            <w:r w:rsidRPr="00D118D9">
              <w:rPr>
                <w:lang w:val="pl-PL"/>
              </w:rPr>
              <w:t>Niderlandów i Belgii w języku niderlandzkim, używając poprawnego języka akademickiego na poziomie C1</w:t>
            </w:r>
            <w:r w:rsidR="002F0EC0">
              <w:rPr>
                <w:lang w:val="pl-PL"/>
              </w:rPr>
              <w:t xml:space="preserve"> do C2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E54" w14:textId="7015C434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K_U01, K_U03, K_U04</w:t>
            </w:r>
          </w:p>
        </w:tc>
      </w:tr>
      <w:tr w:rsidR="00D118D9" w:rsidRPr="000E3E66" w14:paraId="30D7679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8F5A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51F" w14:textId="73926804" w:rsidR="00D118D9" w:rsidRPr="000E3E66" w:rsidRDefault="00D118D9" w:rsidP="00D118D9">
            <w:pPr>
              <w:spacing w:after="0"/>
              <w:rPr>
                <w:lang w:val="pl-PL"/>
              </w:rPr>
            </w:pPr>
            <w:r w:rsidRPr="002E5234">
              <w:rPr>
                <w:lang w:val="pl-PL"/>
              </w:rPr>
              <w:t xml:space="preserve">Student potrafi czytać prace naukowe dotyczące </w:t>
            </w:r>
            <w:r w:rsidR="00142137" w:rsidRPr="00142137">
              <w:rPr>
                <w:lang w:val="pl-PL"/>
              </w:rPr>
              <w:t>zjawisk kulturowych</w:t>
            </w:r>
            <w:r w:rsidR="00BB08E2">
              <w:rPr>
                <w:lang w:val="pl-PL"/>
              </w:rPr>
              <w:t xml:space="preserve"> </w:t>
            </w:r>
            <w:r>
              <w:rPr>
                <w:lang w:val="pl-PL"/>
              </w:rPr>
              <w:t>Niderlandów</w:t>
            </w:r>
            <w:r w:rsidRPr="002E5234">
              <w:rPr>
                <w:lang w:val="pl-PL"/>
              </w:rPr>
              <w:t xml:space="preserve"> i Belgii oraz rozumieć argumentację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DD4C" w14:textId="782C7873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K_U02, K_U06, K_U07</w:t>
            </w:r>
          </w:p>
        </w:tc>
      </w:tr>
      <w:tr w:rsidR="00D118D9" w:rsidRPr="000E3E66" w14:paraId="767659D6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3403" w14:textId="77777777" w:rsidR="00D118D9" w:rsidRPr="000E3E66" w:rsidRDefault="00D118D9" w:rsidP="00D118D9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KOMPETENCJE SPOŁECZNE</w:t>
            </w:r>
          </w:p>
        </w:tc>
      </w:tr>
      <w:tr w:rsidR="00D118D9" w:rsidRPr="000E3E66" w14:paraId="5DE01491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6599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65FC" w14:textId="7951FF1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 xml:space="preserve">Student potrafi interpretować wydarzenia współczesne w oparciu o wiedzę z zakresu </w:t>
            </w:r>
            <w:r w:rsidR="00142137">
              <w:rPr>
                <w:lang w:val="pl-PL"/>
              </w:rPr>
              <w:t xml:space="preserve">kulturoznawstwa </w:t>
            </w:r>
            <w:r w:rsidRPr="00D118D9">
              <w:rPr>
                <w:lang w:val="pl-PL"/>
              </w:rPr>
              <w:t>Niderlandów i Belgii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8B8" w14:textId="3909CDED" w:rsidR="00D118D9" w:rsidRPr="000E3E66" w:rsidRDefault="00FA773A" w:rsidP="00D118D9">
            <w:pPr>
              <w:rPr>
                <w:lang w:val="pl-PL"/>
              </w:rPr>
            </w:pPr>
            <w:r>
              <w:rPr>
                <w:lang w:val="pl-PL"/>
              </w:rPr>
              <w:t>K_K01</w:t>
            </w:r>
          </w:p>
        </w:tc>
      </w:tr>
      <w:tr w:rsidR="00D118D9" w:rsidRPr="000E3E66" w14:paraId="3BFEF4BE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E3E7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FDF8" w14:textId="34212A23" w:rsidR="00D118D9" w:rsidRPr="000E3E66" w:rsidRDefault="00FA773A" w:rsidP="00FA773A">
            <w:pPr>
              <w:spacing w:after="0"/>
              <w:rPr>
                <w:lang w:val="pl-PL"/>
              </w:rPr>
            </w:pPr>
            <w:r w:rsidRPr="00FA773A">
              <w:rPr>
                <w:lang w:val="pl-PL"/>
              </w:rPr>
              <w:t xml:space="preserve">Student potrafi wyjaśnić zainteresowanym podstawowe fakty z </w:t>
            </w:r>
            <w:r w:rsidR="00142137">
              <w:rPr>
                <w:lang w:val="pl-PL"/>
              </w:rPr>
              <w:t xml:space="preserve">kulturoznawstwa </w:t>
            </w:r>
            <w:r w:rsidRPr="00FA773A">
              <w:rPr>
                <w:lang w:val="pl-PL"/>
              </w:rPr>
              <w:t>Niderlandów i Belgii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E00B" w14:textId="4ACC1CF8" w:rsidR="00D118D9" w:rsidRPr="000E3E66" w:rsidRDefault="00FA773A" w:rsidP="00D118D9">
            <w:pPr>
              <w:rPr>
                <w:lang w:val="pl-PL"/>
              </w:rPr>
            </w:pPr>
            <w:r>
              <w:rPr>
                <w:lang w:val="pl-PL"/>
              </w:rPr>
              <w:t>K_K03, K_K04</w:t>
            </w:r>
          </w:p>
        </w:tc>
      </w:tr>
    </w:tbl>
    <w:p w14:paraId="01A69922" w14:textId="77777777" w:rsidR="00673C07" w:rsidRPr="000E3E66" w:rsidRDefault="00673C07">
      <w:pPr>
        <w:pStyle w:val="Odstavecseseznamem"/>
        <w:ind w:left="1080"/>
        <w:rPr>
          <w:b/>
          <w:bCs/>
          <w:lang w:val="pl-PL"/>
        </w:rPr>
      </w:pPr>
    </w:p>
    <w:p w14:paraId="6F4D59C8" w14:textId="19BB1FB5" w:rsidR="00673C07" w:rsidRDefault="00B4443D">
      <w:pPr>
        <w:pStyle w:val="Odstavecseseznamem"/>
        <w:numPr>
          <w:ilvl w:val="0"/>
          <w:numId w:val="7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Opis przedmiotu/ treści programowe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58C5" w:rsidRPr="002356F4" w14:paraId="4A038A6C" w14:textId="77777777" w:rsidTr="00142137">
        <w:trPr>
          <w:trHeight w:val="594"/>
        </w:trPr>
        <w:tc>
          <w:tcPr>
            <w:tcW w:w="9056" w:type="dxa"/>
          </w:tcPr>
          <w:p w14:paraId="4427E831" w14:textId="3BE89DD1" w:rsidR="007758C5" w:rsidRPr="007758C5" w:rsidRDefault="007758C5" w:rsidP="007758C5">
            <w:pPr>
              <w:spacing w:after="0"/>
              <w:rPr>
                <w:rFonts w:cstheme="minorHAnsi"/>
                <w:b/>
                <w:bCs/>
              </w:rPr>
            </w:pPr>
            <w:r w:rsidRPr="007758C5">
              <w:rPr>
                <w:rFonts w:cstheme="minorHAnsi"/>
                <w:b/>
                <w:bCs/>
              </w:rPr>
              <w:t xml:space="preserve">Zajęcia będą planowane w 15 blokach/semestr po 2 godziny lekcyjne. Semestr </w:t>
            </w:r>
            <w:r w:rsidR="00142137">
              <w:rPr>
                <w:rFonts w:cstheme="minorHAnsi"/>
                <w:b/>
                <w:bCs/>
              </w:rPr>
              <w:t>zimowy</w:t>
            </w:r>
            <w:r w:rsidRPr="007758C5">
              <w:rPr>
                <w:rFonts w:cstheme="minorHAnsi"/>
                <w:b/>
                <w:bCs/>
              </w:rPr>
              <w:t xml:space="preserve"> jest zaplanowany w następujący sposób:</w:t>
            </w:r>
          </w:p>
        </w:tc>
      </w:tr>
      <w:tr w:rsidR="00142137" w:rsidRPr="003A1E34" w14:paraId="0E4A9BD8" w14:textId="77777777" w:rsidTr="00142137">
        <w:tc>
          <w:tcPr>
            <w:tcW w:w="9056" w:type="dxa"/>
          </w:tcPr>
          <w:p w14:paraId="7DAA6DFE" w14:textId="5BF472DD" w:rsidR="00142137" w:rsidRPr="00142137" w:rsidRDefault="00142137" w:rsidP="00142137">
            <w:pPr>
              <w:spacing w:after="0"/>
              <w:rPr>
                <w:bCs/>
              </w:rPr>
            </w:pPr>
            <w:r w:rsidRPr="00142137">
              <w:t>1 Wp</w:t>
            </w:r>
            <w:r>
              <w:t>ł</w:t>
            </w:r>
            <w:r w:rsidRPr="00142137">
              <w:t>y</w:t>
            </w:r>
            <w:r>
              <w:t>w</w:t>
            </w:r>
            <w:r w:rsidRPr="00142137">
              <w:t xml:space="preserve"> morza na tworzenie Niderlandów</w:t>
            </w:r>
          </w:p>
        </w:tc>
      </w:tr>
      <w:tr w:rsidR="00142137" w:rsidRPr="003A1E34" w14:paraId="1B8C476F" w14:textId="77777777" w:rsidTr="00142137">
        <w:tc>
          <w:tcPr>
            <w:tcW w:w="9056" w:type="dxa"/>
          </w:tcPr>
          <w:p w14:paraId="5F49569A" w14:textId="77777777" w:rsidR="00142137" w:rsidRPr="00142137" w:rsidRDefault="00142137" w:rsidP="00142137">
            <w:pPr>
              <w:spacing w:after="0"/>
              <w:rPr>
                <w:bCs/>
              </w:rPr>
            </w:pPr>
            <w:r w:rsidRPr="00142137">
              <w:rPr>
                <w:bCs/>
              </w:rPr>
              <w:t>2 Wzrost zaludnienia Niderlandów</w:t>
            </w:r>
          </w:p>
        </w:tc>
      </w:tr>
      <w:tr w:rsidR="00142137" w:rsidRPr="003A1E34" w14:paraId="7EABF457" w14:textId="77777777" w:rsidTr="00142137">
        <w:tc>
          <w:tcPr>
            <w:tcW w:w="9056" w:type="dxa"/>
          </w:tcPr>
          <w:p w14:paraId="6F9D3FF8" w14:textId="77777777" w:rsidR="00142137" w:rsidRPr="00142137" w:rsidRDefault="00142137" w:rsidP="00142137">
            <w:pPr>
              <w:spacing w:after="0"/>
              <w:rPr>
                <w:bCs/>
              </w:rPr>
            </w:pPr>
            <w:r w:rsidRPr="00142137">
              <w:rPr>
                <w:bCs/>
              </w:rPr>
              <w:t>3 Gęstość zaludnienia Niderlandów</w:t>
            </w:r>
          </w:p>
        </w:tc>
      </w:tr>
      <w:tr w:rsidR="00142137" w:rsidRPr="003A1E34" w14:paraId="46DE1BC5" w14:textId="77777777" w:rsidTr="00142137">
        <w:tc>
          <w:tcPr>
            <w:tcW w:w="9056" w:type="dxa"/>
          </w:tcPr>
          <w:p w14:paraId="25C9B980" w14:textId="77777777" w:rsidR="00142137" w:rsidRPr="00142137" w:rsidRDefault="00142137" w:rsidP="00142137">
            <w:pPr>
              <w:pStyle w:val="Nadpis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137">
              <w:rPr>
                <w:rFonts w:ascii="Calibri" w:hAnsi="Calibri" w:cs="Calibri"/>
                <w:b w:val="0"/>
                <w:sz w:val="22"/>
                <w:szCs w:val="22"/>
              </w:rPr>
              <w:t>4 Poldery i parcelacja Niderlandów</w:t>
            </w:r>
          </w:p>
        </w:tc>
      </w:tr>
      <w:tr w:rsidR="00142137" w:rsidRPr="003A1E34" w14:paraId="094BA22B" w14:textId="77777777" w:rsidTr="00142137">
        <w:tc>
          <w:tcPr>
            <w:tcW w:w="9056" w:type="dxa"/>
          </w:tcPr>
          <w:p w14:paraId="51DC3E37" w14:textId="77777777" w:rsidR="00142137" w:rsidRPr="00142137" w:rsidRDefault="00142137" w:rsidP="00142137">
            <w:pPr>
              <w:spacing w:after="0"/>
            </w:pPr>
            <w:r w:rsidRPr="00142137">
              <w:t>5 Pozycja kobiet w historii Niderlandów</w:t>
            </w:r>
          </w:p>
        </w:tc>
      </w:tr>
      <w:tr w:rsidR="00142137" w:rsidRPr="003A1E34" w14:paraId="4B597E6A" w14:textId="77777777" w:rsidTr="00142137">
        <w:tc>
          <w:tcPr>
            <w:tcW w:w="9056" w:type="dxa"/>
          </w:tcPr>
          <w:p w14:paraId="35990B76" w14:textId="615A63DD" w:rsidR="00142137" w:rsidRPr="00142137" w:rsidRDefault="00142137" w:rsidP="00142137">
            <w:pPr>
              <w:spacing w:after="0"/>
            </w:pPr>
            <w:r w:rsidRPr="00142137">
              <w:t>6 Pieniądze nie śmierdzą</w:t>
            </w:r>
          </w:p>
        </w:tc>
      </w:tr>
      <w:tr w:rsidR="00142137" w:rsidRPr="003A1E34" w14:paraId="7740708B" w14:textId="77777777" w:rsidTr="00142137">
        <w:tc>
          <w:tcPr>
            <w:tcW w:w="9056" w:type="dxa"/>
          </w:tcPr>
          <w:p w14:paraId="43538C76" w14:textId="77777777" w:rsidR="00142137" w:rsidRPr="00142137" w:rsidRDefault="00142137" w:rsidP="00142137">
            <w:pPr>
              <w:spacing w:after="0"/>
            </w:pPr>
            <w:r w:rsidRPr="00142137">
              <w:t>7 Stereotypy a nasz światopogląd</w:t>
            </w:r>
          </w:p>
        </w:tc>
      </w:tr>
      <w:tr w:rsidR="00142137" w:rsidRPr="003A1E34" w14:paraId="3D3D9AB6" w14:textId="77777777" w:rsidTr="00142137">
        <w:tc>
          <w:tcPr>
            <w:tcW w:w="9056" w:type="dxa"/>
          </w:tcPr>
          <w:p w14:paraId="7E2A70FD" w14:textId="77777777" w:rsidR="00142137" w:rsidRPr="00142137" w:rsidRDefault="00142137" w:rsidP="00142137">
            <w:pPr>
              <w:spacing w:after="0"/>
            </w:pPr>
            <w:r w:rsidRPr="00142137">
              <w:t>8 Wpływy imigracji z byłych kolonii w Niderlandach</w:t>
            </w:r>
          </w:p>
        </w:tc>
      </w:tr>
      <w:tr w:rsidR="00142137" w:rsidRPr="003A1E34" w14:paraId="64D325A3" w14:textId="77777777" w:rsidTr="00142137">
        <w:tc>
          <w:tcPr>
            <w:tcW w:w="9056" w:type="dxa"/>
          </w:tcPr>
          <w:p w14:paraId="7F651B3E" w14:textId="77777777" w:rsidR="00142137" w:rsidRPr="00142137" w:rsidRDefault="00142137" w:rsidP="00142137">
            <w:pPr>
              <w:spacing w:after="0"/>
            </w:pPr>
            <w:r w:rsidRPr="00142137">
              <w:t>9 Wpływy imigracji z byłych kolonii w Belgii</w:t>
            </w:r>
          </w:p>
        </w:tc>
      </w:tr>
      <w:tr w:rsidR="00142137" w14:paraId="2B199645" w14:textId="77777777" w:rsidTr="00142137">
        <w:tc>
          <w:tcPr>
            <w:tcW w:w="9056" w:type="dxa"/>
          </w:tcPr>
          <w:p w14:paraId="1357D1D5" w14:textId="5124DDFD" w:rsidR="00142137" w:rsidRPr="00142137" w:rsidRDefault="00142137" w:rsidP="00142137">
            <w:pPr>
              <w:spacing w:after="0"/>
            </w:pPr>
            <w:r w:rsidRPr="00142137">
              <w:t xml:space="preserve">10 Tolerancja w Niderlandach I </w:t>
            </w:r>
            <w:r w:rsidR="00AD2933">
              <w:t>–</w:t>
            </w:r>
            <w:r w:rsidRPr="00142137">
              <w:t xml:space="preserve"> religia</w:t>
            </w:r>
            <w:r w:rsidR="00AD2933">
              <w:t xml:space="preserve"> </w:t>
            </w:r>
            <w:r w:rsidRPr="00142137">
              <w:t>i ideologia</w:t>
            </w:r>
          </w:p>
        </w:tc>
      </w:tr>
      <w:tr w:rsidR="00142137" w14:paraId="08C489A1" w14:textId="77777777" w:rsidTr="00142137">
        <w:tc>
          <w:tcPr>
            <w:tcW w:w="9056" w:type="dxa"/>
          </w:tcPr>
          <w:p w14:paraId="0FA6B042" w14:textId="2E2AA574" w:rsidR="00142137" w:rsidRPr="00142137" w:rsidRDefault="00142137" w:rsidP="00142137">
            <w:pPr>
              <w:spacing w:after="0"/>
            </w:pPr>
            <w:r w:rsidRPr="00142137">
              <w:t xml:space="preserve">11 Tolerancja w Niderlandach II </w:t>
            </w:r>
            <w:r w:rsidR="00AD2933">
              <w:t>–</w:t>
            </w:r>
            <w:r w:rsidRPr="00142137">
              <w:t xml:space="preserve"> miłość, życie i śmierć</w:t>
            </w:r>
          </w:p>
        </w:tc>
      </w:tr>
      <w:tr w:rsidR="00142137" w14:paraId="21A989C9" w14:textId="77777777" w:rsidTr="00142137">
        <w:tc>
          <w:tcPr>
            <w:tcW w:w="9056" w:type="dxa"/>
          </w:tcPr>
          <w:p w14:paraId="76E09B0F" w14:textId="28377282" w:rsidR="00142137" w:rsidRPr="00142137" w:rsidRDefault="00142137" w:rsidP="00142137">
            <w:pPr>
              <w:spacing w:after="0"/>
            </w:pPr>
            <w:r w:rsidRPr="00142137">
              <w:t>12 Szczerość po holendersku i po flamandzku</w:t>
            </w:r>
            <w:r w:rsidR="00AD2933">
              <w:t>, kultura planowania</w:t>
            </w:r>
          </w:p>
        </w:tc>
      </w:tr>
      <w:tr w:rsidR="00142137" w14:paraId="2404B5D8" w14:textId="77777777" w:rsidTr="00142137">
        <w:tc>
          <w:tcPr>
            <w:tcW w:w="9056" w:type="dxa"/>
          </w:tcPr>
          <w:p w14:paraId="001796E6" w14:textId="77777777" w:rsidR="00142137" w:rsidRPr="00142137" w:rsidRDefault="00142137" w:rsidP="00142137">
            <w:pPr>
              <w:spacing w:after="0"/>
            </w:pPr>
            <w:r w:rsidRPr="00142137">
              <w:t>13 Kultura porządku dziennego</w:t>
            </w:r>
          </w:p>
        </w:tc>
      </w:tr>
      <w:tr w:rsidR="00142137" w14:paraId="7C48F518" w14:textId="77777777" w:rsidTr="00142137">
        <w:tc>
          <w:tcPr>
            <w:tcW w:w="9056" w:type="dxa"/>
          </w:tcPr>
          <w:p w14:paraId="63C0F377" w14:textId="77777777" w:rsidR="00142137" w:rsidRPr="00142137" w:rsidRDefault="00142137" w:rsidP="00142137">
            <w:pPr>
              <w:spacing w:after="0"/>
            </w:pPr>
            <w:r w:rsidRPr="00142137">
              <w:t>14 Uroczystości i tradycje</w:t>
            </w:r>
          </w:p>
        </w:tc>
      </w:tr>
      <w:tr w:rsidR="00142137" w14:paraId="20A3AA81" w14:textId="77777777" w:rsidTr="00142137">
        <w:tc>
          <w:tcPr>
            <w:tcW w:w="9056" w:type="dxa"/>
          </w:tcPr>
          <w:p w14:paraId="15EF83E5" w14:textId="447AE849" w:rsidR="00142137" w:rsidRPr="00142137" w:rsidRDefault="00142137" w:rsidP="00142137">
            <w:pPr>
              <w:spacing w:after="0"/>
            </w:pPr>
            <w:r w:rsidRPr="00142137">
              <w:t xml:space="preserve">15 </w:t>
            </w:r>
            <w:r w:rsidR="00AD2933" w:rsidRPr="00AD2933">
              <w:t>Problem granicy językowej</w:t>
            </w:r>
            <w:r w:rsidR="00AD2933">
              <w:t xml:space="preserve"> w Belgii</w:t>
            </w:r>
          </w:p>
        </w:tc>
      </w:tr>
    </w:tbl>
    <w:p w14:paraId="458DF74B" w14:textId="77777777" w:rsidR="00673C07" w:rsidRPr="000E3E66" w:rsidRDefault="00B4443D" w:rsidP="00BF4C7C">
      <w:pPr>
        <w:pStyle w:val="Odstavecseseznamem"/>
        <w:keepNext/>
        <w:numPr>
          <w:ilvl w:val="0"/>
          <w:numId w:val="8"/>
        </w:numPr>
        <w:ind w:left="1077"/>
        <w:rPr>
          <w:b/>
          <w:bCs/>
          <w:lang w:val="pl-PL"/>
        </w:rPr>
      </w:pPr>
      <w:r w:rsidRPr="000E3E66">
        <w:rPr>
          <w:b/>
          <w:bCs/>
          <w:lang w:val="pl-PL"/>
        </w:rPr>
        <w:lastRenderedPageBreak/>
        <w:t xml:space="preserve">Metody realizacji i weryfikacji efektów uczenia się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673C07" w:rsidRPr="000E3E66" w14:paraId="7F9AC1F2" w14:textId="77777777" w:rsidTr="00CA3923">
        <w:trPr>
          <w:trHeight w:val="70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F7B3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73DA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dydaktyczne</w:t>
            </w:r>
          </w:p>
          <w:p w14:paraId="1C7F2ED6" w14:textId="4EAC0600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9332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weryfikacji</w:t>
            </w:r>
          </w:p>
          <w:p w14:paraId="22CE00DB" w14:textId="7AF533F3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A49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Sposoby dokumentacji</w:t>
            </w:r>
          </w:p>
          <w:p w14:paraId="2ACDA57F" w14:textId="77777777" w:rsidR="00673C07" w:rsidRPr="000E3E66" w:rsidRDefault="00B4443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  <w:p w14:paraId="05DCB866" w14:textId="3C3B3F52" w:rsidR="00673C07" w:rsidRPr="000E3E66" w:rsidRDefault="00673C07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C07" w:rsidRPr="000E3E66" w14:paraId="3A8F3EEC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5726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05776CD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FCA" w14:textId="77777777" w:rsidR="00673C07" w:rsidRPr="000E3E66" w:rsidRDefault="00B4443D" w:rsidP="00CA3923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99DF" w14:textId="0989C761" w:rsidR="00673C07" w:rsidRPr="00CA3923" w:rsidRDefault="00145DC8" w:rsidP="00CA3923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Wyk</w:t>
            </w:r>
            <w:r w:rsidRPr="00CA3923">
              <w:rPr>
                <w:rFonts w:cstheme="minorHAnsi"/>
                <w:lang w:val="pl-PL"/>
              </w:rPr>
              <w:t>ł</w:t>
            </w:r>
            <w:r w:rsidRPr="00CA3923">
              <w:rPr>
                <w:lang w:val="pl-PL"/>
              </w:rPr>
              <w:t>ad konwencjonalny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06A" w14:textId="2169269E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>testy pośrednie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222A" w14:textId="12EA6D51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 xml:space="preserve">wyniki testów (w </w:t>
            </w:r>
            <w:proofErr w:type="spellStart"/>
            <w:r w:rsidRPr="00765306">
              <w:rPr>
                <w:lang w:val="pl-PL"/>
              </w:rPr>
              <w:t>moodle</w:t>
            </w:r>
            <w:proofErr w:type="spellEnd"/>
            <w:r w:rsidRPr="00765306">
              <w:rPr>
                <w:lang w:val="pl-PL"/>
              </w:rPr>
              <w:t>)</w:t>
            </w:r>
            <w:r w:rsidR="00142137">
              <w:rPr>
                <w:lang w:val="pl-PL"/>
              </w:rPr>
              <w:t>, praca seminaryjna</w:t>
            </w:r>
          </w:p>
        </w:tc>
      </w:tr>
      <w:tr w:rsidR="00765306" w:rsidRPr="000E3E66" w14:paraId="5BBB7C4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A50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77B" w14:textId="13EDF4F6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CA0C" w14:textId="2ADB355F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0953" w14:textId="76B253FF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Karta zaliczeniowa</w:t>
            </w:r>
          </w:p>
        </w:tc>
      </w:tr>
      <w:tr w:rsidR="00765306" w:rsidRPr="000E3E66" w14:paraId="21246B78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B871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UMIEJĘTNOŚCI</w:t>
            </w:r>
          </w:p>
        </w:tc>
      </w:tr>
      <w:tr w:rsidR="00765306" w:rsidRPr="000E3E66" w14:paraId="6F0D251C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FB5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42B" w14:textId="57F05EB1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AA9" w14:textId="35564AE6" w:rsidR="00765306" w:rsidRPr="00CA3923" w:rsidRDefault="00765306" w:rsidP="00765306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Referat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03F" w14:textId="0DE8F0CA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 xml:space="preserve">plik z notatkami na temat </w:t>
            </w:r>
            <w:r>
              <w:rPr>
                <w:lang w:val="pl-PL"/>
              </w:rPr>
              <w:t>referatu</w:t>
            </w:r>
            <w:r w:rsidR="00142137">
              <w:rPr>
                <w:lang w:val="pl-PL"/>
              </w:rPr>
              <w:t>, praca seminaryjna</w:t>
            </w:r>
          </w:p>
        </w:tc>
      </w:tr>
      <w:tr w:rsidR="00765306" w:rsidRPr="000E3E66" w14:paraId="7B7547E8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9429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5CC" w14:textId="6792E0FA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BB72" w14:textId="1EF2DF83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D377" w14:textId="66755FEE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zaliczeniowa </w:t>
            </w:r>
          </w:p>
        </w:tc>
      </w:tr>
      <w:tr w:rsidR="00765306" w:rsidRPr="000E3E66" w14:paraId="78F36365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0A2E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KOMPETENCJE SPOŁECZNE</w:t>
            </w:r>
          </w:p>
        </w:tc>
      </w:tr>
      <w:tr w:rsidR="00765306" w:rsidRPr="000E3E66" w14:paraId="3D97D1FC" w14:textId="77777777" w:rsidTr="00CA3923">
        <w:trPr>
          <w:trHeight w:val="3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0DFB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2C6E" w14:textId="1E5C609C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D</w:t>
            </w:r>
            <w:r>
              <w:rPr>
                <w:lang w:val="pl-PL"/>
              </w:rPr>
              <w:t>y</w:t>
            </w:r>
            <w:r w:rsidRPr="00CA3923">
              <w:rPr>
                <w:lang w:val="pl-PL"/>
              </w:rPr>
              <w:t>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2E10" w14:textId="626443F2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D4D5" w14:textId="56DF5242" w:rsidR="00765306" w:rsidRPr="00CA3923" w:rsidRDefault="00765306" w:rsidP="00765306">
            <w:pPr>
              <w:tabs>
                <w:tab w:val="right" w:pos="2367"/>
              </w:tabs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zaliczeniowa </w:t>
            </w:r>
          </w:p>
        </w:tc>
      </w:tr>
      <w:tr w:rsidR="00765306" w:rsidRPr="000E3E66" w14:paraId="6D72F1E6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8BE3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470C" w14:textId="07FFE3C3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916C" w14:textId="548AA0D7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8B98" w14:textId="5FCCF8F5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Plik z prezentacją</w:t>
            </w:r>
          </w:p>
        </w:tc>
      </w:tr>
    </w:tbl>
    <w:p w14:paraId="7BBC659C" w14:textId="3DBF5F4D" w:rsidR="00673C07" w:rsidRDefault="00B4443D">
      <w:pPr>
        <w:pStyle w:val="Odstavecseseznamem"/>
        <w:numPr>
          <w:ilvl w:val="0"/>
          <w:numId w:val="9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Kryteria oceny,</w:t>
      </w:r>
    </w:p>
    <w:p w14:paraId="3427AD61" w14:textId="29AB625D" w:rsidR="00145DC8" w:rsidRPr="00145DC8" w:rsidRDefault="00145DC8" w:rsidP="00142137">
      <w:pPr>
        <w:rPr>
          <w:bCs/>
          <w:lang w:val="pl-PL"/>
        </w:rPr>
      </w:pPr>
      <w:r w:rsidRPr="00145DC8">
        <w:rPr>
          <w:b/>
          <w:u w:val="single"/>
          <w:lang w:val="pl-PL"/>
        </w:rPr>
        <w:t>Kryteria wiedzy:</w:t>
      </w:r>
      <w:r w:rsidRPr="00145DC8">
        <w:rPr>
          <w:bCs/>
          <w:lang w:val="pl-PL"/>
        </w:rPr>
        <w:t xml:space="preserve">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2</w:t>
      </w:r>
      <w:r w:rsidRPr="00145DC8">
        <w:rPr>
          <w:bCs/>
          <w:lang w:val="pl-PL"/>
        </w:rPr>
        <w:t xml:space="preserve"> – Student nie ma podstawowej wiedzy w </w:t>
      </w:r>
      <w:r w:rsidR="00142137">
        <w:rPr>
          <w:bCs/>
          <w:lang w:val="pl-PL"/>
        </w:rPr>
        <w:t>kulturoznawstwu</w:t>
      </w:r>
      <w:r w:rsidR="007758C5">
        <w:rPr>
          <w:bCs/>
          <w:lang w:val="pl-PL"/>
        </w:rPr>
        <w:t xml:space="preserve"> </w:t>
      </w:r>
      <w:r w:rsidRPr="00145DC8">
        <w:rPr>
          <w:bCs/>
          <w:lang w:val="pl-PL"/>
        </w:rPr>
        <w:t>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3</w:t>
      </w:r>
      <w:r w:rsidRPr="00145DC8">
        <w:rPr>
          <w:bCs/>
          <w:lang w:val="pl-PL"/>
        </w:rPr>
        <w:t xml:space="preserve"> – Student posiada ogólną wiedzę w </w:t>
      </w:r>
      <w:r w:rsidR="00142137">
        <w:rPr>
          <w:bCs/>
          <w:lang w:val="pl-PL"/>
        </w:rPr>
        <w:t>kulturoznawstwu</w:t>
      </w:r>
      <w:r w:rsidR="007758C5">
        <w:rPr>
          <w:bCs/>
          <w:lang w:val="pl-PL"/>
        </w:rPr>
        <w:t xml:space="preserve"> </w:t>
      </w:r>
      <w:r w:rsidRPr="00145DC8">
        <w:rPr>
          <w:bCs/>
          <w:lang w:val="pl-PL"/>
        </w:rPr>
        <w:t>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4:</w:t>
      </w:r>
      <w:r w:rsidRPr="00145DC8">
        <w:rPr>
          <w:bCs/>
          <w:lang w:val="pl-PL"/>
        </w:rPr>
        <w:t xml:space="preserve"> Student ma uporządkowaną wiedzę w </w:t>
      </w:r>
      <w:r w:rsidR="00142137">
        <w:rPr>
          <w:bCs/>
          <w:lang w:val="pl-PL"/>
        </w:rPr>
        <w:t>kulturoznawstwu</w:t>
      </w:r>
      <w:r w:rsidR="007758C5">
        <w:rPr>
          <w:bCs/>
          <w:lang w:val="pl-PL"/>
        </w:rPr>
        <w:t xml:space="preserve"> </w:t>
      </w:r>
      <w:r w:rsidRPr="00145DC8">
        <w:rPr>
          <w:bCs/>
          <w:lang w:val="pl-PL"/>
        </w:rPr>
        <w:t>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5: </w:t>
      </w:r>
      <w:r w:rsidRPr="00145DC8">
        <w:rPr>
          <w:bCs/>
          <w:lang w:val="pl-PL"/>
        </w:rPr>
        <w:t xml:space="preserve">Student ma pełną wiedzę w </w:t>
      </w:r>
      <w:r w:rsidR="00142137">
        <w:rPr>
          <w:bCs/>
          <w:lang w:val="pl-PL"/>
        </w:rPr>
        <w:t>kulturoznawstwu</w:t>
      </w:r>
      <w:r w:rsidR="007758C5">
        <w:rPr>
          <w:bCs/>
          <w:lang w:val="pl-PL"/>
        </w:rPr>
        <w:t xml:space="preserve"> </w:t>
      </w:r>
      <w:r w:rsidRPr="00145DC8">
        <w:rPr>
          <w:bCs/>
          <w:lang w:val="pl-PL"/>
        </w:rPr>
        <w:t>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>.</w:t>
      </w:r>
    </w:p>
    <w:p w14:paraId="71332333" w14:textId="671A054A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umiejętności: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 xml:space="preserve">Student nie jest w stanie wykazać umiejętności analizy </w:t>
      </w:r>
      <w:r w:rsidR="00142137" w:rsidRPr="00142137">
        <w:rPr>
          <w:lang w:val="pl-PL"/>
        </w:rPr>
        <w:t>zjawisk kulturowych</w:t>
      </w:r>
      <w:r w:rsidR="00142137">
        <w:rPr>
          <w:lang w:val="pl-PL"/>
        </w:rPr>
        <w:t xml:space="preserve"> </w:t>
      </w:r>
      <w:r w:rsidRPr="00145DC8">
        <w:rPr>
          <w:bCs/>
          <w:lang w:val="pl-PL"/>
        </w:rPr>
        <w:t>Niderlandów</w:t>
      </w:r>
      <w:r>
        <w:rPr>
          <w:bCs/>
          <w:lang w:val="pl-PL"/>
        </w:rPr>
        <w:t xml:space="preserve"> i Belgii</w:t>
      </w:r>
      <w:r w:rsidRPr="00145DC8">
        <w:rPr>
          <w:rFonts w:cstheme="minorHAnsi"/>
          <w:lang w:val="pl-PL"/>
        </w:rPr>
        <w:t>.</w:t>
      </w:r>
      <w:r w:rsidRPr="00145DC8">
        <w:rPr>
          <w:rFonts w:cstheme="minorHAnsi"/>
          <w:bCs/>
          <w:lang w:val="pl-PL"/>
        </w:rPr>
        <w:t xml:space="preserve"> Brak uczestnictwa w zajęciach lub nadmierna liczba nieusprawiedliwionych nieobecności (</w:t>
      </w:r>
      <w:r w:rsidRPr="00145DC8">
        <w:rPr>
          <w:rFonts w:cstheme="minorHAnsi"/>
          <w:b/>
          <w:bCs/>
          <w:u w:val="single"/>
          <w:lang w:val="pl-PL"/>
        </w:rPr>
        <w:t>więcej niż 2 razy w semestrze</w:t>
      </w:r>
      <w:r w:rsidRPr="00145DC8">
        <w:rPr>
          <w:rFonts w:cstheme="minorHAnsi"/>
          <w:lang w:val="pl-PL"/>
        </w:rPr>
        <w:t>)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 xml:space="preserve">Student posiada podstawową umiejętność analizy </w:t>
      </w:r>
      <w:r w:rsidR="00142137" w:rsidRPr="00142137">
        <w:rPr>
          <w:lang w:val="pl-PL"/>
        </w:rPr>
        <w:t>zjawisk kulturowych</w:t>
      </w:r>
      <w:r w:rsidR="00142137">
        <w:rPr>
          <w:lang w:val="pl-PL"/>
        </w:rPr>
        <w:t xml:space="preserve"> </w:t>
      </w:r>
      <w:r w:rsidRPr="00145DC8">
        <w:rPr>
          <w:rFonts w:cstheme="minorHAnsi"/>
          <w:lang w:val="pl-PL"/>
        </w:rPr>
        <w:t>Niderlandów</w:t>
      </w:r>
      <w:r>
        <w:rPr>
          <w:rFonts w:cstheme="minorHAnsi"/>
          <w:lang w:val="pl-PL"/>
        </w:rPr>
        <w:t xml:space="preserve"> i Belgii</w:t>
      </w:r>
      <w:r w:rsidRPr="00145DC8">
        <w:rPr>
          <w:rFonts w:cstheme="minorHAnsi"/>
          <w:lang w:val="pl-PL"/>
        </w:rPr>
        <w:t>, potrafi je kojarzyć z faktami kulturowymi oraz usytuować w kontekście europejskim i światowym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 xml:space="preserve">na ocenę 4: </w:t>
      </w:r>
      <w:r w:rsidRPr="00145DC8">
        <w:rPr>
          <w:rFonts w:cstheme="minorHAnsi"/>
          <w:lang w:val="pl-PL"/>
        </w:rPr>
        <w:t>Student posiada w stopniu dobrym umiejętności wymienione w poprzedniej kolumnie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>Student wykazuje ponadprzeciętne umiejętności w zakresie opisanym przy ocenie (4)</w:t>
      </w:r>
      <w:r w:rsidRPr="00145DC8">
        <w:rPr>
          <w:rFonts w:cstheme="minorHAnsi"/>
          <w:bCs/>
          <w:lang w:val="pl-PL"/>
        </w:rPr>
        <w:t>.</w:t>
      </w:r>
    </w:p>
    <w:p w14:paraId="51DA47DF" w14:textId="77777777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kompetencji społecznych: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color w:val="333333"/>
          <w:lang w:val="pl-PL"/>
        </w:rPr>
        <w:t xml:space="preserve"> Student obce mu są podstawy ustawicznego samokształcenia i samodzielnego rozwiązywania postawionych przed nim problemów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color w:val="333333"/>
          <w:lang w:val="pl-PL"/>
        </w:rPr>
        <w:t xml:space="preserve"> Student posiada w stopniu podstawowym kompetencje opisane w części „efekty nauczania- kompetencje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4:</w:t>
      </w:r>
      <w:r w:rsidRPr="00145DC8">
        <w:rPr>
          <w:rFonts w:cstheme="minorHAnsi"/>
          <w:color w:val="333333"/>
          <w:lang w:val="pl-PL"/>
        </w:rPr>
        <w:t xml:space="preserve"> Student posiada wymienione powyżej kompetencje w stopniu zadowalającym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color w:val="333333"/>
          <w:lang w:val="pl-PL"/>
        </w:rPr>
        <w:t>Student posiada wymienione wcześniej kompetencje w stopniu ponadprzeciętnym, a w szczególności wykazuje ponadprzeciętną samodzielność w ich stosowaniu</w:t>
      </w:r>
      <w:r w:rsidRPr="00145DC8">
        <w:rPr>
          <w:rFonts w:cstheme="minorHAnsi"/>
          <w:bCs/>
          <w:lang w:val="pl-PL"/>
        </w:rPr>
        <w:t>.</w:t>
      </w:r>
    </w:p>
    <w:p w14:paraId="726CFACC" w14:textId="77777777" w:rsidR="00673C07" w:rsidRPr="000E3E66" w:rsidRDefault="00B4443D" w:rsidP="00BF4C7C">
      <w:pPr>
        <w:pStyle w:val="Odstavecseseznamem"/>
        <w:keepNext/>
        <w:numPr>
          <w:ilvl w:val="0"/>
          <w:numId w:val="2"/>
        </w:numPr>
        <w:ind w:left="1077"/>
        <w:rPr>
          <w:b/>
          <w:bCs/>
          <w:lang w:val="pl-PL"/>
        </w:rPr>
      </w:pPr>
      <w:r w:rsidRPr="000E3E66">
        <w:rPr>
          <w:b/>
          <w:bCs/>
          <w:lang w:val="pl-PL"/>
        </w:rPr>
        <w:lastRenderedPageBreak/>
        <w:t>Obciążenie pracą 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673C07" w:rsidRPr="000E3E66" w14:paraId="7D8DB701" w14:textId="77777777">
        <w:trPr>
          <w:trHeight w:val="2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55B3" w14:textId="77777777" w:rsidR="00673C07" w:rsidRPr="000E3E66" w:rsidRDefault="00B4443D">
            <w:pPr>
              <w:rPr>
                <w:lang w:val="pl-PL"/>
              </w:rPr>
            </w:pPr>
            <w:r w:rsidRPr="000E3E66">
              <w:rPr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9BF4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</w:tr>
      <w:tr w:rsidR="00673C07" w:rsidRPr="000E3E66" w14:paraId="3A677C2F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9A0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722" w14:textId="468C2F54" w:rsidR="00673C07" w:rsidRPr="000E3E66" w:rsidRDefault="00145DC8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673C07" w:rsidRPr="000E3E66" w14:paraId="1F392788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DFD5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02B" w14:textId="5E45A2CB" w:rsidR="00673C07" w:rsidRPr="000E3E66" w:rsidRDefault="00142137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145DC8">
              <w:rPr>
                <w:lang w:val="pl-PL"/>
              </w:rPr>
              <w:t>0</w:t>
            </w:r>
          </w:p>
        </w:tc>
      </w:tr>
    </w:tbl>
    <w:p w14:paraId="308A539B" w14:textId="77777777" w:rsidR="00673C07" w:rsidRPr="000E3E66" w:rsidRDefault="00673C07">
      <w:pPr>
        <w:spacing w:after="0"/>
        <w:rPr>
          <w:b/>
          <w:bCs/>
          <w:lang w:val="pl-PL"/>
        </w:rPr>
      </w:pPr>
    </w:p>
    <w:p w14:paraId="45B63F0B" w14:textId="6C49D460" w:rsidR="00673C07" w:rsidRDefault="00B4443D">
      <w:pPr>
        <w:pStyle w:val="Odstavecseseznamem"/>
        <w:numPr>
          <w:ilvl w:val="0"/>
          <w:numId w:val="10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Literatura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2137" w:rsidRPr="005D27B4" w14:paraId="503440D1" w14:textId="77777777" w:rsidTr="00142137">
        <w:tc>
          <w:tcPr>
            <w:tcW w:w="9056" w:type="dxa"/>
          </w:tcPr>
          <w:p w14:paraId="6F70A9F0" w14:textId="77777777" w:rsidR="00142137" w:rsidRPr="005D27B4" w:rsidRDefault="00142137" w:rsidP="006206EF">
            <w:pPr>
              <w:rPr>
                <w:b/>
              </w:rPr>
            </w:pPr>
            <w:r w:rsidRPr="005D27B4">
              <w:rPr>
                <w:b/>
              </w:rPr>
              <w:t>Literatura podstawowa</w:t>
            </w:r>
          </w:p>
        </w:tc>
      </w:tr>
      <w:tr w:rsidR="00142137" w:rsidRPr="00871F10" w14:paraId="1D1FF87C" w14:textId="77777777" w:rsidTr="00142137">
        <w:tc>
          <w:tcPr>
            <w:tcW w:w="9056" w:type="dxa"/>
          </w:tcPr>
          <w:p w14:paraId="11D46B2B" w14:textId="77777777" w:rsidR="00142137" w:rsidRPr="00871F10" w:rsidRDefault="00142137" w:rsidP="006206EF">
            <w:pPr>
              <w:rPr>
                <w:bCs/>
                <w:lang w:val="en-US"/>
              </w:rPr>
            </w:pPr>
            <w:r w:rsidRPr="00871F10">
              <w:rPr>
                <w:bCs/>
                <w:lang w:val="en-US"/>
              </w:rPr>
              <w:t xml:space="preserve">E. </w:t>
            </w:r>
            <w:proofErr w:type="spellStart"/>
            <w:r w:rsidRPr="00871F10">
              <w:rPr>
                <w:bCs/>
                <w:lang w:val="en-US"/>
              </w:rPr>
              <w:t>Besamusca</w:t>
            </w:r>
            <w:proofErr w:type="spellEnd"/>
            <w:r w:rsidRPr="00871F10">
              <w:rPr>
                <w:bCs/>
                <w:lang w:val="en-US"/>
              </w:rPr>
              <w:t xml:space="preserve"> &amp; J. </w:t>
            </w:r>
            <w:proofErr w:type="spellStart"/>
            <w:r w:rsidRPr="00871F10">
              <w:rPr>
                <w:bCs/>
                <w:lang w:val="en-US"/>
              </w:rPr>
              <w:t>Verheul</w:t>
            </w:r>
            <w:proofErr w:type="spellEnd"/>
            <w:r w:rsidRPr="00871F10">
              <w:rPr>
                <w:bCs/>
                <w:lang w:val="en-US"/>
              </w:rPr>
              <w:t xml:space="preserve">, </w:t>
            </w:r>
            <w:r w:rsidRPr="00871F10">
              <w:rPr>
                <w:bCs/>
                <w:i/>
                <w:lang w:val="en-US"/>
              </w:rPr>
              <w:t xml:space="preserve">Discovering the </w:t>
            </w:r>
            <w:r>
              <w:rPr>
                <w:bCs/>
                <w:i/>
                <w:lang w:val="en-US"/>
              </w:rPr>
              <w:t>Dutch. On Culture and Society of the Netherlands</w:t>
            </w:r>
            <w:r>
              <w:rPr>
                <w:bCs/>
                <w:lang w:val="en-US"/>
              </w:rPr>
              <w:t>. Amsterdam: Amsterdam University Press, 2010.</w:t>
            </w:r>
          </w:p>
        </w:tc>
      </w:tr>
      <w:tr w:rsidR="00142137" w:rsidRPr="00871F10" w14:paraId="2D610FA8" w14:textId="77777777" w:rsidTr="00142137">
        <w:tc>
          <w:tcPr>
            <w:tcW w:w="9056" w:type="dxa"/>
          </w:tcPr>
          <w:p w14:paraId="786748CE" w14:textId="77777777" w:rsidR="00142137" w:rsidRPr="00531469" w:rsidRDefault="00142137" w:rsidP="006206EF">
            <w:pPr>
              <w:rPr>
                <w:lang w:val="nl-NL"/>
              </w:rPr>
            </w:pPr>
            <w:r>
              <w:rPr>
                <w:lang w:val="nl-NL"/>
              </w:rPr>
              <w:t xml:space="preserve">L. Heerma van </w:t>
            </w:r>
            <w:proofErr w:type="spellStart"/>
            <w:r>
              <w:rPr>
                <w:lang w:val="nl-NL"/>
              </w:rPr>
              <w:t>Voss</w:t>
            </w:r>
            <w:proofErr w:type="spellEnd"/>
            <w:r>
              <w:rPr>
                <w:lang w:val="nl-NL"/>
              </w:rPr>
              <w:t xml:space="preserve"> et al., </w:t>
            </w:r>
            <w:r>
              <w:rPr>
                <w:i/>
                <w:lang w:val="nl-NL"/>
              </w:rPr>
              <w:t>Wereldgeschiedenis van Nederland</w:t>
            </w:r>
            <w:r>
              <w:rPr>
                <w:lang w:val="nl-NL"/>
              </w:rPr>
              <w:t xml:space="preserve">. Amsterdam: Ambo – </w:t>
            </w:r>
            <w:proofErr w:type="spellStart"/>
            <w:r>
              <w:rPr>
                <w:lang w:val="nl-NL"/>
              </w:rPr>
              <w:t>Anthos</w:t>
            </w:r>
            <w:proofErr w:type="spellEnd"/>
            <w:r>
              <w:rPr>
                <w:lang w:val="nl-NL"/>
              </w:rPr>
              <w:t>, 2018</w:t>
            </w:r>
          </w:p>
        </w:tc>
      </w:tr>
      <w:tr w:rsidR="00142137" w:rsidRPr="00871F10" w14:paraId="1552C6E5" w14:textId="77777777" w:rsidTr="00142137">
        <w:tc>
          <w:tcPr>
            <w:tcW w:w="9056" w:type="dxa"/>
          </w:tcPr>
          <w:p w14:paraId="7FA26D94" w14:textId="77777777" w:rsidR="00142137" w:rsidRPr="00871F10" w:rsidRDefault="00142137" w:rsidP="006206EF">
            <w:pPr>
              <w:rPr>
                <w:lang w:val="nl-NL"/>
              </w:rPr>
            </w:pPr>
            <w:r>
              <w:rPr>
                <w:lang w:val="nl-NL"/>
              </w:rPr>
              <w:t xml:space="preserve">P. Wouters, </w:t>
            </w:r>
            <w:r>
              <w:rPr>
                <w:i/>
                <w:lang w:val="nl-NL"/>
              </w:rPr>
              <w:t xml:space="preserve">België – Nederland. Verschil moet er zijn. </w:t>
            </w:r>
            <w:r>
              <w:rPr>
                <w:lang w:val="nl-NL"/>
              </w:rPr>
              <w:t>Lemniscaat, 2010</w:t>
            </w:r>
          </w:p>
        </w:tc>
      </w:tr>
      <w:tr w:rsidR="00142137" w:rsidRPr="00871F10" w14:paraId="0D7F3372" w14:textId="77777777" w:rsidTr="00142137">
        <w:tc>
          <w:tcPr>
            <w:tcW w:w="9056" w:type="dxa"/>
          </w:tcPr>
          <w:p w14:paraId="23A50A0C" w14:textId="77777777" w:rsidR="00142137" w:rsidRPr="00142137" w:rsidRDefault="00142137" w:rsidP="006206EF">
            <w:pPr>
              <w:rPr>
                <w:b/>
              </w:rPr>
            </w:pPr>
            <w:r w:rsidRPr="00142137">
              <w:rPr>
                <w:b/>
              </w:rPr>
              <w:t>Literatura uzupełniająca</w:t>
            </w:r>
          </w:p>
        </w:tc>
      </w:tr>
      <w:tr w:rsidR="00142137" w:rsidRPr="000F0F48" w14:paraId="1721BC33" w14:textId="77777777" w:rsidTr="00142137">
        <w:tc>
          <w:tcPr>
            <w:tcW w:w="9056" w:type="dxa"/>
          </w:tcPr>
          <w:p w14:paraId="5E87B46E" w14:textId="77777777" w:rsidR="00142137" w:rsidRPr="00871F10" w:rsidRDefault="00142137" w:rsidP="006206EF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H. </w:t>
            </w:r>
            <w:proofErr w:type="spellStart"/>
            <w:r>
              <w:rPr>
                <w:bCs/>
                <w:lang w:val="nl-NL"/>
              </w:rPr>
              <w:t>Lörzing</w:t>
            </w:r>
            <w:proofErr w:type="spellEnd"/>
            <w:r>
              <w:rPr>
                <w:bCs/>
                <w:lang w:val="nl-NL"/>
              </w:rPr>
              <w:t xml:space="preserve">, </w:t>
            </w:r>
            <w:r>
              <w:rPr>
                <w:bCs/>
                <w:i/>
                <w:lang w:val="nl-NL"/>
              </w:rPr>
              <w:t>Een land waarover is nagedacht. Hoe de planners Nederland vormgaven.</w:t>
            </w:r>
            <w:r>
              <w:rPr>
                <w:bCs/>
                <w:lang w:val="nl-NL"/>
              </w:rPr>
              <w:t xml:space="preserve"> Amsterdam: De Geus, 2021</w:t>
            </w:r>
          </w:p>
        </w:tc>
      </w:tr>
      <w:tr w:rsidR="00142137" w:rsidRPr="000F0F48" w14:paraId="4F3C0455" w14:textId="77777777" w:rsidTr="00142137">
        <w:tc>
          <w:tcPr>
            <w:tcW w:w="9056" w:type="dxa"/>
          </w:tcPr>
          <w:p w14:paraId="043DBB03" w14:textId="77777777" w:rsidR="00142137" w:rsidRPr="000F0F48" w:rsidRDefault="00142137" w:rsidP="006206EF">
            <w:pPr>
              <w:rPr>
                <w:bCs/>
                <w:lang w:val="nl-NL"/>
              </w:rPr>
            </w:pPr>
            <w:r w:rsidRPr="000F0F48">
              <w:rPr>
                <w:bCs/>
                <w:lang w:val="nl-NL"/>
              </w:rPr>
              <w:t xml:space="preserve">M. Prak &amp; J. Luiten van </w:t>
            </w:r>
            <w:r>
              <w:rPr>
                <w:bCs/>
                <w:lang w:val="nl-NL"/>
              </w:rPr>
              <w:t xml:space="preserve">Zanden, </w:t>
            </w:r>
            <w:r>
              <w:rPr>
                <w:bCs/>
                <w:i/>
                <w:lang w:val="nl-NL"/>
              </w:rPr>
              <w:t>Nederland en het poldermodel</w:t>
            </w:r>
            <w:r>
              <w:rPr>
                <w:bCs/>
                <w:lang w:val="nl-NL"/>
              </w:rPr>
              <w:t>. Amsterdam: Bert Bakker, 2013</w:t>
            </w:r>
          </w:p>
        </w:tc>
      </w:tr>
      <w:tr w:rsidR="00142137" w:rsidRPr="00871F10" w14:paraId="40D965DF" w14:textId="77777777" w:rsidTr="00142137">
        <w:tc>
          <w:tcPr>
            <w:tcW w:w="9056" w:type="dxa"/>
          </w:tcPr>
          <w:p w14:paraId="4C7F0B18" w14:textId="77777777" w:rsidR="00142137" w:rsidRPr="00871F10" w:rsidRDefault="00142137" w:rsidP="006206EF">
            <w:pPr>
              <w:rPr>
                <w:bCs/>
                <w:lang w:val="nl-NL"/>
              </w:rPr>
            </w:pPr>
            <w:r w:rsidRPr="005D1627">
              <w:rPr>
                <w:bCs/>
                <w:lang w:val="nl-NL"/>
              </w:rPr>
              <w:t xml:space="preserve">F. </w:t>
            </w:r>
            <w:proofErr w:type="spellStart"/>
            <w:r w:rsidRPr="005D1627">
              <w:rPr>
                <w:bCs/>
                <w:lang w:val="nl-NL"/>
              </w:rPr>
              <w:t>Seberechts</w:t>
            </w:r>
            <w:proofErr w:type="spellEnd"/>
            <w:r w:rsidRPr="005D1627">
              <w:rPr>
                <w:bCs/>
                <w:lang w:val="nl-NL"/>
              </w:rPr>
              <w:t xml:space="preserve">, </w:t>
            </w:r>
            <w:r w:rsidRPr="005D1627">
              <w:rPr>
                <w:bCs/>
                <w:i/>
                <w:lang w:val="nl-NL"/>
              </w:rPr>
              <w:t xml:space="preserve">Onvoltooid Vlaanderen. </w:t>
            </w:r>
            <w:r w:rsidRPr="00871F10">
              <w:rPr>
                <w:bCs/>
                <w:i/>
                <w:lang w:val="nl-NL"/>
              </w:rPr>
              <w:t>Van Taalstrijd tot Natievorming.</w:t>
            </w:r>
            <w:r w:rsidRPr="00871F10">
              <w:rPr>
                <w:bCs/>
                <w:lang w:val="nl-NL"/>
              </w:rPr>
              <w:t xml:space="preserve"> G</w:t>
            </w:r>
            <w:r>
              <w:rPr>
                <w:bCs/>
                <w:lang w:val="nl-NL"/>
              </w:rPr>
              <w:t>ent: Uitgeverij Vrijdag, 2017</w:t>
            </w:r>
          </w:p>
        </w:tc>
      </w:tr>
      <w:tr w:rsidR="00142137" w:rsidRPr="00D11EAF" w14:paraId="1B2DC236" w14:textId="77777777" w:rsidTr="00142137">
        <w:tc>
          <w:tcPr>
            <w:tcW w:w="9056" w:type="dxa"/>
          </w:tcPr>
          <w:p w14:paraId="6F25E0CB" w14:textId="77777777" w:rsidR="00142137" w:rsidRPr="00D11EAF" w:rsidRDefault="00142137" w:rsidP="006206EF">
            <w:pPr>
              <w:rPr>
                <w:bCs/>
              </w:rPr>
            </w:pPr>
            <w:r w:rsidRPr="00871F10">
              <w:rPr>
                <w:bCs/>
              </w:rPr>
              <w:t>Materiały dostarczone prze</w:t>
            </w:r>
            <w:r w:rsidRPr="00D11EAF">
              <w:rPr>
                <w:bCs/>
              </w:rPr>
              <w:t>z prowadzącego</w:t>
            </w:r>
          </w:p>
        </w:tc>
      </w:tr>
    </w:tbl>
    <w:p w14:paraId="45804BD6" w14:textId="77777777" w:rsidR="00142137" w:rsidRPr="00D11EAF" w:rsidRDefault="00142137" w:rsidP="00142137"/>
    <w:p w14:paraId="676567AD" w14:textId="77777777" w:rsidR="00142137" w:rsidRPr="00142137" w:rsidRDefault="00142137" w:rsidP="00142137">
      <w:pPr>
        <w:ind w:left="360"/>
        <w:rPr>
          <w:b/>
          <w:bCs/>
          <w:lang w:val="pl-PL"/>
        </w:rPr>
      </w:pPr>
    </w:p>
    <w:sectPr w:rsidR="00142137" w:rsidRPr="0014213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12BF" w14:textId="77777777" w:rsidR="00B42400" w:rsidRDefault="00B4443D">
      <w:pPr>
        <w:spacing w:after="0" w:line="240" w:lineRule="auto"/>
      </w:pPr>
      <w:r>
        <w:separator/>
      </w:r>
    </w:p>
  </w:endnote>
  <w:endnote w:type="continuationSeparator" w:id="0">
    <w:p w14:paraId="33CD4E1B" w14:textId="77777777" w:rsidR="00B42400" w:rsidRDefault="00B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F48" w14:textId="77777777" w:rsidR="00673C07" w:rsidRDefault="00673C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02" w14:textId="77777777" w:rsidR="00B42400" w:rsidRDefault="00B4443D">
      <w:pPr>
        <w:spacing w:after="0" w:line="240" w:lineRule="auto"/>
      </w:pPr>
      <w:r>
        <w:separator/>
      </w:r>
    </w:p>
  </w:footnote>
  <w:footnote w:type="continuationSeparator" w:id="0">
    <w:p w14:paraId="535E3C8E" w14:textId="77777777" w:rsidR="00B42400" w:rsidRDefault="00B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DFB" w14:textId="77777777" w:rsidR="00673C07" w:rsidRDefault="00B4443D">
    <w:pPr>
      <w:pStyle w:val="Zhlav"/>
      <w:tabs>
        <w:tab w:val="clear" w:pos="9072"/>
        <w:tab w:val="right" w:pos="9046"/>
      </w:tabs>
      <w:jc w:val="right"/>
    </w:pPr>
    <w:proofErr w:type="spellStart"/>
    <w:r>
      <w:rPr>
        <w:i/>
        <w:iCs/>
      </w:rPr>
      <w:t>Załącznik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nr</w:t>
    </w:r>
    <w:proofErr w:type="spellEnd"/>
    <w:r>
      <w:rPr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CC0"/>
    <w:multiLevelType w:val="hybridMultilevel"/>
    <w:tmpl w:val="F63268AC"/>
    <w:styleLink w:val="ImportedStyle1"/>
    <w:lvl w:ilvl="0" w:tplc="F35E27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CF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B98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8C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2B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016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AB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B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E0D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D3000"/>
    <w:multiLevelType w:val="hybridMultilevel"/>
    <w:tmpl w:val="806C1212"/>
    <w:numStyleLink w:val="Lettered"/>
  </w:abstractNum>
  <w:abstractNum w:abstractNumId="2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36ED2"/>
    <w:multiLevelType w:val="hybridMultilevel"/>
    <w:tmpl w:val="F63268AC"/>
    <w:numStyleLink w:val="ImportedStyle1"/>
  </w:abstractNum>
  <w:abstractNum w:abstractNumId="4" w15:restartNumberingAfterBreak="0">
    <w:nsid w:val="3285601B"/>
    <w:multiLevelType w:val="hybridMultilevel"/>
    <w:tmpl w:val="806C1212"/>
    <w:styleLink w:val="Lettered"/>
    <w:lvl w:ilvl="0" w:tplc="C2ACBA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658C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42636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598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758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56A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09A0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6BF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883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8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07"/>
    <w:rsid w:val="000E3E66"/>
    <w:rsid w:val="00134FAC"/>
    <w:rsid w:val="00142137"/>
    <w:rsid w:val="00145DC8"/>
    <w:rsid w:val="00281819"/>
    <w:rsid w:val="002E5234"/>
    <w:rsid w:val="002E5735"/>
    <w:rsid w:val="002F0EC0"/>
    <w:rsid w:val="00397AF5"/>
    <w:rsid w:val="00397EF9"/>
    <w:rsid w:val="004D1B58"/>
    <w:rsid w:val="0059728D"/>
    <w:rsid w:val="00653B71"/>
    <w:rsid w:val="00673C07"/>
    <w:rsid w:val="00765306"/>
    <w:rsid w:val="0077198E"/>
    <w:rsid w:val="007758C5"/>
    <w:rsid w:val="008825C8"/>
    <w:rsid w:val="008A3886"/>
    <w:rsid w:val="009F2D4B"/>
    <w:rsid w:val="00AD2933"/>
    <w:rsid w:val="00AE7F1C"/>
    <w:rsid w:val="00B42400"/>
    <w:rsid w:val="00B4443D"/>
    <w:rsid w:val="00BB08E2"/>
    <w:rsid w:val="00BE07B5"/>
    <w:rsid w:val="00BF4C7C"/>
    <w:rsid w:val="00CA1761"/>
    <w:rsid w:val="00CA3923"/>
    <w:rsid w:val="00D118D9"/>
    <w:rsid w:val="00F756E3"/>
    <w:rsid w:val="00FA773A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3AC9"/>
  <w15:docId w15:val="{553900EA-D20F-43BE-B5F2-A512CC7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link w:val="Nadpis1Char"/>
    <w:uiPriority w:val="9"/>
    <w:qFormat/>
    <w:rsid w:val="00775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table" w:styleId="Mkatabulky">
    <w:name w:val="Table Grid"/>
    <w:basedOn w:val="Normlntabulka"/>
    <w:uiPriority w:val="59"/>
    <w:rsid w:val="00765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758C5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Engelbrecht Wilken</cp:lastModifiedBy>
  <cp:revision>4</cp:revision>
  <dcterms:created xsi:type="dcterms:W3CDTF">2024-02-18T12:32:00Z</dcterms:created>
  <dcterms:modified xsi:type="dcterms:W3CDTF">2024-02-18T14:03:00Z</dcterms:modified>
</cp:coreProperties>
</file>