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orztytulredakcji"/>
      </w:pPr>
      <w:r>
        <w:t>Program komputerowy przedmiotem ochrony praw autorskich; brak podstaw do kwalifikowania nale</w:t>
      </w:r>
      <w:r>
        <w:t>ż</w:t>
      </w:r>
      <w:r>
        <w:t>no</w:t>
      </w:r>
      <w:r>
        <w:t>ś</w:t>
      </w:r>
      <w:r>
        <w:t>ci wyp</w:t>
      </w:r>
      <w:r>
        <w:t>ł</w:t>
      </w:r>
      <w:r>
        <w:t>acanych z tytu</w:t>
      </w:r>
      <w:r>
        <w:t>ł</w:t>
      </w:r>
      <w:r>
        <w:t>u zakupu praw do korzystania ze stosownych oprogramowa</w:t>
      </w:r>
      <w:r>
        <w:t>ń</w:t>
      </w:r>
      <w:r>
        <w:t xml:space="preserve"> </w:t>
      </w:r>
      <w:r>
        <w:t>do kategorii nale</w:t>
      </w:r>
      <w:r>
        <w:t>ż</w:t>
      </w:r>
      <w:r>
        <w:t>no</w:t>
      </w:r>
      <w:r>
        <w:t>ś</w:t>
      </w:r>
      <w:r>
        <w:t>ci licencyjnych</w:t>
      </w:r>
    </w:p>
    <w:p w:rsidR="00000000" w:rsidRDefault="00BB0AD5">
      <w:pPr>
        <w:pStyle w:val="orztytulredakcji"/>
        <w:rPr>
          <w:b w:val="0"/>
          <w:bCs w:val="0"/>
        </w:rPr>
      </w:pPr>
    </w:p>
    <w:p w:rsidR="00000000" w:rsidRDefault="00BB0AD5">
      <w:pPr>
        <w:pStyle w:val="pnaglowekcenter"/>
      </w:pPr>
      <w:r>
        <w:t>Wyrok</w:t>
      </w:r>
    </w:p>
    <w:p w:rsidR="00000000" w:rsidRDefault="00BB0AD5">
      <w:pPr>
        <w:pStyle w:val="pnaglowekcenter"/>
      </w:pPr>
      <w:r>
        <w:t>Naczelnego S</w:t>
      </w:r>
      <w:r>
        <w:t>ą</w:t>
      </w:r>
      <w:r>
        <w:t>du Administracyjnego</w:t>
      </w:r>
    </w:p>
    <w:p w:rsidR="00000000" w:rsidRDefault="00BB0AD5">
      <w:pPr>
        <w:pStyle w:val="pnaglowekcenter"/>
      </w:pPr>
      <w:r>
        <w:t>z dnia 13 stycznia 2010 r.</w:t>
      </w:r>
    </w:p>
    <w:p w:rsidR="00000000" w:rsidRDefault="00BB0AD5">
      <w:pPr>
        <w:pStyle w:val="pnaglowekcenter"/>
      </w:pPr>
      <w:r>
        <w:t>II FSK 1182/08</w:t>
      </w: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orzpodtytul"/>
      </w:pPr>
      <w:r>
        <w:t>Teza</w:t>
      </w: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p"/>
      </w:pPr>
      <w:r>
        <w:t>1. Programy komputerowe s</w:t>
      </w:r>
      <w:r>
        <w:t>ą</w:t>
      </w:r>
      <w:r>
        <w:t xml:space="preserve"> samodzielnym przedmiotem ochrony praw autorskich.</w:t>
      </w:r>
    </w:p>
    <w:p w:rsidR="00000000" w:rsidRDefault="00BB0AD5">
      <w:pPr>
        <w:pStyle w:val="p"/>
      </w:pPr>
      <w:r>
        <w:t xml:space="preserve"> 2. Skoro program komputerowy nie stanowi dzie</w:t>
      </w:r>
      <w:r>
        <w:t>ł</w:t>
      </w:r>
      <w:r>
        <w:t>a li</w:t>
      </w:r>
      <w:r>
        <w:t>terackiego, naukowego lub artystycznego w rozumieniu polskich uregulowa</w:t>
      </w:r>
      <w:r>
        <w:t>ń</w:t>
      </w:r>
      <w:r>
        <w:t xml:space="preserve"> prawnych odnosz</w:t>
      </w:r>
      <w:r>
        <w:t>ą</w:t>
      </w:r>
      <w:r>
        <w:t>cych si</w:t>
      </w:r>
      <w:r>
        <w:t>ę</w:t>
      </w:r>
      <w:r>
        <w:t xml:space="preserve"> do prawa autorskiego, interpretowanych nawet z uwzgl</w:t>
      </w:r>
      <w:r>
        <w:t>ę</w:t>
      </w:r>
      <w:r>
        <w:t>dnieniem postanowie</w:t>
      </w:r>
      <w:r>
        <w:t>ń</w:t>
      </w:r>
      <w:r>
        <w:t xml:space="preserve"> o charakterze konwencyjnym, brak jest podstaw do kwalifikowania nale</w:t>
      </w:r>
      <w:r>
        <w:t>ż</w:t>
      </w:r>
      <w:r>
        <w:t>no</w:t>
      </w:r>
      <w:r>
        <w:t>ś</w:t>
      </w:r>
      <w:r>
        <w:t>ci wyp</w:t>
      </w:r>
      <w:r>
        <w:t>ł</w:t>
      </w:r>
      <w:r>
        <w:t>acany</w:t>
      </w:r>
      <w:r>
        <w:t>ch z tytu</w:t>
      </w:r>
      <w:r>
        <w:t>ł</w:t>
      </w:r>
      <w:r>
        <w:t>u zakupu praw do korzystania ze stosownych oprogramowa</w:t>
      </w:r>
      <w:r>
        <w:t>ń</w:t>
      </w:r>
      <w:r>
        <w:t xml:space="preserve"> do kategorii nale</w:t>
      </w:r>
      <w:r>
        <w:t>ż</w:t>
      </w:r>
      <w:r>
        <w:t>no</w:t>
      </w:r>
      <w:r>
        <w:t>ś</w:t>
      </w:r>
      <w:r>
        <w:t>ci licencyjnych w rozumieniu art. 12 ust. 3 lit a) umowy z dnia 13 listopada 1995 r. mi</w:t>
      </w:r>
      <w:r>
        <w:t>ę</w:t>
      </w:r>
      <w:r>
        <w:t>dzy Rz</w:t>
      </w:r>
      <w:r>
        <w:t>ą</w:t>
      </w:r>
      <w:r>
        <w:t>dem RP, a Rz</w:t>
      </w:r>
      <w:r>
        <w:t>ą</w:t>
      </w:r>
      <w:r>
        <w:t>dem Irlandii w sprawie unikania podw</w:t>
      </w:r>
      <w:r>
        <w:t>ó</w:t>
      </w:r>
      <w:r>
        <w:t>jnego opodatkowania i za</w:t>
      </w:r>
      <w:r>
        <w:t>pobiegania uchylaniu si</w:t>
      </w:r>
      <w:r>
        <w:t>ę</w:t>
      </w:r>
      <w:r>
        <w:t xml:space="preserve"> od opodatkowania w zakresie podatku od dochodu (Dz.U. z 1996 r. Nr 53, poz. 129). </w:t>
      </w: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/>
    <w:p w:rsidR="00000000" w:rsidRDefault="00BB0AD5">
      <w:pPr>
        <w:numPr>
          <w:ilvl w:val="0"/>
          <w:numId w:val="1"/>
        </w:numPr>
        <w:spacing w:line="320" w:lineRule="atLeast"/>
        <w:jc w:val="left"/>
      </w:pPr>
      <w:r>
        <w:rPr>
          <w:i/>
          <w:iCs/>
        </w:rPr>
        <w:t>Legalis</w:t>
      </w:r>
    </w:p>
    <w:p w:rsidR="00000000" w:rsidRDefault="00BB0AD5">
      <w:pPr>
        <w:numPr>
          <w:ilvl w:val="0"/>
          <w:numId w:val="1"/>
        </w:numPr>
        <w:spacing w:line="320" w:lineRule="atLeast"/>
        <w:jc w:val="left"/>
      </w:pPr>
      <w:r>
        <w:rPr>
          <w:i/>
          <w:iCs/>
        </w:rPr>
        <w:t>Umowa mi</w:t>
      </w:r>
      <w:r>
        <w:rPr>
          <w:i/>
          <w:iCs/>
        </w:rPr>
        <w:t>ę</w:t>
      </w:r>
      <w:r>
        <w:rPr>
          <w:i/>
          <w:iCs/>
        </w:rPr>
        <w:t>dzy Rz</w:t>
      </w:r>
      <w:r>
        <w:rPr>
          <w:i/>
          <w:iCs/>
        </w:rPr>
        <w:t>ą</w:t>
      </w:r>
      <w:r>
        <w:rPr>
          <w:i/>
          <w:iCs/>
        </w:rPr>
        <w:t>dem Rzeczypospolitej Polskiej a Rz</w:t>
      </w:r>
      <w:r>
        <w:rPr>
          <w:i/>
          <w:iCs/>
        </w:rPr>
        <w:t>ą</w:t>
      </w:r>
      <w:r>
        <w:rPr>
          <w:i/>
          <w:iCs/>
        </w:rPr>
        <w:t>dem Irlandii w sprawie unikania podw</w:t>
      </w:r>
      <w:r>
        <w:rPr>
          <w:i/>
          <w:iCs/>
        </w:rPr>
        <w:t>ó</w:t>
      </w:r>
      <w:r>
        <w:rPr>
          <w:i/>
          <w:iCs/>
        </w:rPr>
        <w:t>jnego opodatkowania i zapobiegania uchyl</w:t>
      </w:r>
      <w:r>
        <w:rPr>
          <w:i/>
          <w:iCs/>
        </w:rPr>
        <w:t>aniu si</w:t>
      </w:r>
      <w:r>
        <w:rPr>
          <w:i/>
          <w:iCs/>
        </w:rPr>
        <w:t>ę</w:t>
      </w:r>
      <w:r>
        <w:rPr>
          <w:i/>
          <w:iCs/>
        </w:rPr>
        <w:t xml:space="preserve"> od opodatkowania w zakresie podatk</w:t>
      </w:r>
      <w:r>
        <w:rPr>
          <w:i/>
          <w:iCs/>
        </w:rPr>
        <w:t>ó</w:t>
      </w:r>
      <w:r>
        <w:rPr>
          <w:i/>
          <w:iCs/>
        </w:rPr>
        <w:t>w od dochodu, sporz</w:t>
      </w:r>
      <w:r>
        <w:rPr>
          <w:i/>
          <w:iCs/>
        </w:rPr>
        <w:t>ą</w:t>
      </w:r>
      <w:r>
        <w:rPr>
          <w:i/>
          <w:iCs/>
        </w:rPr>
        <w:t>dzona w Madrycie dnia 13 listopada 1995 r, Artyku</w:t>
      </w:r>
      <w:r>
        <w:rPr>
          <w:i/>
          <w:iCs/>
        </w:rPr>
        <w:t>ł</w:t>
      </w:r>
      <w:r>
        <w:rPr>
          <w:i/>
          <w:iCs/>
        </w:rPr>
        <w:t xml:space="preserve"> 12 ust. 3</w:t>
      </w:r>
    </w:p>
    <w:p w:rsidR="00000000" w:rsidRDefault="00BB0AD5">
      <w:pPr>
        <w:spacing w:line="240" w:lineRule="auto"/>
        <w:jc w:val="left"/>
      </w:pPr>
    </w:p>
    <w:p w:rsidR="00000000" w:rsidRDefault="00BB0AD5">
      <w:pPr>
        <w:pStyle w:val="orznumer"/>
      </w:pPr>
    </w:p>
    <w:p w:rsidR="00000000" w:rsidRDefault="00BB0AD5">
      <w:pPr>
        <w:pStyle w:val="orznumer"/>
      </w:pPr>
      <w:r>
        <w:t>Numer 222592</w:t>
      </w:r>
    </w:p>
    <w:p w:rsidR="00000000" w:rsidRDefault="00BB0AD5">
      <w:pPr>
        <w:pStyle w:val="orznumer"/>
        <w:rPr>
          <w:i w:val="0"/>
          <w:iCs w:val="0"/>
        </w:rPr>
      </w:pP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orzpodtytul"/>
      </w:pPr>
      <w:r>
        <w:t>Sk</w:t>
      </w:r>
      <w:r>
        <w:t>ł</w:t>
      </w:r>
      <w:r>
        <w:t>ad s</w:t>
      </w:r>
      <w:r>
        <w:t>ą</w:t>
      </w:r>
      <w:r>
        <w:t>du</w:t>
      </w:r>
    </w:p>
    <w:p w:rsidR="00000000" w:rsidRDefault="00BB0AD5">
      <w:r>
        <w:t>Grzegorz Borkowski</w:t>
      </w:r>
    </w:p>
    <w:p w:rsidR="00000000" w:rsidRDefault="00BB0AD5">
      <w:r>
        <w:t xml:space="preserve"> Hanna Kami</w:t>
      </w:r>
      <w:r>
        <w:t>ń</w:t>
      </w:r>
      <w:r>
        <w:t>ska</w:t>
      </w:r>
    </w:p>
    <w:p w:rsidR="00000000" w:rsidRDefault="00BB0AD5">
      <w:r>
        <w:t xml:space="preserve"> Zbigniew Kmieciak (przewodnicz</w:t>
      </w:r>
      <w:r>
        <w:t>ą</w:t>
      </w:r>
      <w:r>
        <w:t>cy sprawozdawca)</w:t>
      </w: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orzpodtytul"/>
      </w:pPr>
      <w:r>
        <w:t>Sentencja</w:t>
      </w:r>
    </w:p>
    <w:p w:rsidR="00000000" w:rsidRDefault="00BB0AD5">
      <w:r>
        <w:t>Naczelny S</w:t>
      </w:r>
      <w:r>
        <w:t>ą</w:t>
      </w:r>
      <w:r>
        <w:t>d Administracyjny po rozpoznaniu w dniu 13 stycznia 2010 r. na rozprawie w Izbie Finansowej skargi kasacyjnej Ministra Finans</w:t>
      </w:r>
      <w:r>
        <w:t>ó</w:t>
      </w:r>
      <w:r>
        <w:t>w od wyroku Wojew</w:t>
      </w:r>
      <w:r>
        <w:t>ó</w:t>
      </w:r>
      <w:r>
        <w:t>dzkiego S</w:t>
      </w:r>
      <w:r>
        <w:t>ą</w:t>
      </w:r>
      <w:r>
        <w:t xml:space="preserve">du Administracyjnego w Warszawie z dnia 4 kwietnia 2008 r., III SA/WA 2153/07 w sprawie ze </w:t>
      </w:r>
      <w:r>
        <w:t>skargi P. BP S.A. z siedzib</w:t>
      </w:r>
      <w:r>
        <w:t>ą</w:t>
      </w:r>
      <w:r>
        <w:t xml:space="preserve"> w W. na decyzj</w:t>
      </w:r>
      <w:r>
        <w:t>ę</w:t>
      </w:r>
      <w:r>
        <w:t xml:space="preserve"> Ministra Finans</w:t>
      </w:r>
      <w:r>
        <w:t>ó</w:t>
      </w:r>
      <w:r>
        <w:t>w z dnia 21 pa</w:t>
      </w:r>
      <w:r>
        <w:t>ź</w:t>
      </w:r>
      <w:r>
        <w:t>dziernika 2007 r., Nr (...) w przedmiocie udzielenia pisemnej interpretacji co do zakresu i sposobu zastosowania prawa podatkowego oddala skarg</w:t>
      </w:r>
      <w:r>
        <w:t>ę</w:t>
      </w:r>
      <w:r>
        <w:t xml:space="preserve"> kasacyjn</w:t>
      </w:r>
      <w:r>
        <w:t>ą</w:t>
      </w:r>
      <w:r>
        <w:t>.</w:t>
      </w: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B0AD5">
      <w:pPr>
        <w:pStyle w:val="orzpodtytul"/>
      </w:pPr>
      <w:r>
        <w:t>Uzasadnienie</w:t>
      </w:r>
    </w:p>
    <w:p w:rsidR="00000000" w:rsidRDefault="00BB0AD5">
      <w:r>
        <w:t xml:space="preserve">Pismem z </w:t>
      </w:r>
      <w:r>
        <w:t>dnia 27 marca 2007 r. P. (...) z siedzib</w:t>
      </w:r>
      <w:r>
        <w:t>ą</w:t>
      </w:r>
      <w:r>
        <w:t xml:space="preserve"> w W. (sp</w:t>
      </w:r>
      <w:r>
        <w:t>ół</w:t>
      </w:r>
      <w:r>
        <w:t>ka) wyst</w:t>
      </w:r>
      <w:r>
        <w:t>ą</w:t>
      </w:r>
      <w:r>
        <w:t>pi</w:t>
      </w:r>
      <w:r>
        <w:t>ł</w:t>
      </w:r>
      <w:r>
        <w:t>a do Ministra Finans</w:t>
      </w:r>
      <w:r>
        <w:t>ó</w:t>
      </w:r>
      <w:r>
        <w:t>w z wnioskiem o udzielenie pisemnej interpretacji co do zakresu i sposobu zastosowania prawa podatkowego. Z przedstawionego przez sp</w:t>
      </w:r>
      <w:r>
        <w:t>ół</w:t>
      </w:r>
      <w:r>
        <w:t>k</w:t>
      </w:r>
      <w:r>
        <w:t>ę</w:t>
      </w:r>
      <w:r>
        <w:t xml:space="preserve"> stanu faktycznego wynika</w:t>
      </w:r>
      <w:r>
        <w:t>ł</w:t>
      </w:r>
      <w:r>
        <w:t xml:space="preserve">o, </w:t>
      </w:r>
      <w:r>
        <w:t>ż</w:t>
      </w:r>
      <w:r>
        <w:t>e dok</w:t>
      </w:r>
      <w:r>
        <w:t>onywa</w:t>
      </w:r>
      <w:r>
        <w:t>ł</w:t>
      </w:r>
      <w:r>
        <w:t>a ona zakup</w:t>
      </w:r>
      <w:r>
        <w:t>ó</w:t>
      </w:r>
      <w:r>
        <w:t>w praw do korzystania z oprogramowa</w:t>
      </w:r>
      <w:r>
        <w:t>ń</w:t>
      </w:r>
      <w:r>
        <w:t xml:space="preserve"> komputerowych - w tym od podmiot</w:t>
      </w:r>
      <w:r>
        <w:t>ó</w:t>
      </w:r>
      <w:r>
        <w:t>w maj</w:t>
      </w:r>
      <w:r>
        <w:t>ą</w:t>
      </w:r>
      <w:r>
        <w:t>cych siedzib</w:t>
      </w:r>
      <w:r>
        <w:t>ę</w:t>
      </w:r>
      <w:r>
        <w:t xml:space="preserve"> w Irlandii, w ramach prowadzonej przez siebie dzia</w:t>
      </w:r>
      <w:r>
        <w:t>ł</w:t>
      </w:r>
      <w:r>
        <w:t>alno</w:t>
      </w:r>
      <w:r>
        <w:t>ś</w:t>
      </w:r>
      <w:r>
        <w:t>ci gospodarczej. Z tego tytu</w:t>
      </w:r>
      <w:r>
        <w:t>ł</w:t>
      </w:r>
      <w:r>
        <w:t>u sp</w:t>
      </w:r>
      <w:r>
        <w:t>ół</w:t>
      </w:r>
      <w:r>
        <w:t>ka wyp</w:t>
      </w:r>
      <w:r>
        <w:t>ł</w:t>
      </w:r>
      <w:r>
        <w:t>aci</w:t>
      </w:r>
      <w:r>
        <w:t>ł</w:t>
      </w:r>
      <w:r>
        <w:t>a nale</w:t>
      </w:r>
      <w:r>
        <w:t>ż</w:t>
      </w:r>
      <w:r>
        <w:t>no</w:t>
      </w:r>
      <w:r>
        <w:t>ś</w:t>
      </w:r>
      <w:r>
        <w:t>ci firmom b</w:t>
      </w:r>
      <w:r>
        <w:t>ę</w:t>
      </w:r>
      <w:r>
        <w:t>d</w:t>
      </w:r>
      <w:r>
        <w:t>ą</w:t>
      </w:r>
      <w:r>
        <w:t xml:space="preserve">cym nierezydentami, w </w:t>
      </w:r>
      <w:r>
        <w:t>rozumieniu art. 3 ust. 2 ustawy z dnia 15 lutego 1992 r. o podatku dochodowym od os</w:t>
      </w:r>
      <w:r>
        <w:t>ó</w:t>
      </w:r>
      <w:r>
        <w:t>b prawnych (Dz.U. z 2000 r. Nr 54, poz. 654 ze zm. dalej PDOPrU). W tak opisanym stanie faktycznym sp</w:t>
      </w:r>
      <w:r>
        <w:t>ół</w:t>
      </w:r>
      <w:r>
        <w:t>ka zwr</w:t>
      </w:r>
      <w:r>
        <w:t>ó</w:t>
      </w:r>
      <w:r>
        <w:t>ci</w:t>
      </w:r>
      <w:r>
        <w:t>ł</w:t>
      </w:r>
      <w:r>
        <w:t>a si</w:t>
      </w:r>
      <w:r>
        <w:t>ę</w:t>
      </w:r>
      <w:r>
        <w:t xml:space="preserve"> z zapytaniem, czy w przypadku, gdy dokonuje wyp</w:t>
      </w:r>
      <w:r>
        <w:t>ł</w:t>
      </w:r>
      <w:r>
        <w:t>at za</w:t>
      </w:r>
      <w:r>
        <w:t xml:space="preserve">granicznym kontrahentom </w:t>
      </w:r>
      <w:r>
        <w:t>ś</w:t>
      </w:r>
      <w:r>
        <w:t>rodk</w:t>
      </w:r>
      <w:r>
        <w:t>ó</w:t>
      </w:r>
      <w:r>
        <w:t>w pieni</w:t>
      </w:r>
      <w:r>
        <w:t>ęż</w:t>
      </w:r>
      <w:r>
        <w:t>nych z tytu</w:t>
      </w:r>
      <w:r>
        <w:t>ł</w:t>
      </w:r>
      <w:r>
        <w:t>u nale</w:t>
      </w:r>
      <w:r>
        <w:t>ż</w:t>
      </w:r>
      <w:r>
        <w:t>no</w:t>
      </w:r>
      <w:r>
        <w:t>ś</w:t>
      </w:r>
      <w:r>
        <w:t xml:space="preserve">ci za prawo </w:t>
      </w:r>
      <w:r>
        <w:lastRenderedPageBreak/>
        <w:t>do korzystania z oprogramowania komputerowego, obowi</w:t>
      </w:r>
      <w:r>
        <w:t>ą</w:t>
      </w:r>
      <w:r>
        <w:t>zana jest do poboru zrycza</w:t>
      </w:r>
      <w:r>
        <w:t>ł</w:t>
      </w:r>
      <w:r>
        <w:t>towanego podatku dochodowego w my</w:t>
      </w:r>
      <w:r>
        <w:t>ś</w:t>
      </w:r>
      <w:r>
        <w:t>l art. 12 umowy z dnia 13 listopada 1995 r. mi</w:t>
      </w:r>
      <w:r>
        <w:t>ę</w:t>
      </w:r>
      <w:r>
        <w:t>dzy Rz</w:t>
      </w:r>
      <w:r>
        <w:t>ą</w:t>
      </w:r>
      <w:r>
        <w:t>dem RP, a Rz</w:t>
      </w:r>
      <w:r>
        <w:t>ą</w:t>
      </w:r>
      <w:r>
        <w:t>de</w:t>
      </w:r>
      <w:r>
        <w:t>m I. w sprawie unikania podw</w:t>
      </w:r>
      <w:r>
        <w:t>ó</w:t>
      </w:r>
      <w:r>
        <w:t>jnego opodatkowania i zapobiegania uchylaniu si</w:t>
      </w:r>
      <w:r>
        <w:t>ę</w:t>
      </w:r>
      <w:r>
        <w:t xml:space="preserve"> od opodatkowania w zakresie podatku od dochodu (Dz.U. z 1996 r. Nr 53, poz. 129 dalej Umowa).</w:t>
      </w:r>
    </w:p>
    <w:p w:rsidR="00000000" w:rsidRDefault="00BB0AD5">
      <w:pPr>
        <w:pStyle w:val="p"/>
      </w:pPr>
      <w:r>
        <w:t xml:space="preserve"> Zdaniem sp</w:t>
      </w:r>
      <w:r>
        <w:t>ół</w:t>
      </w:r>
      <w:r>
        <w:t>ki, zap</w:t>
      </w:r>
      <w:r>
        <w:t>ł</w:t>
      </w:r>
      <w:r>
        <w:t>ata wynagrodzenia zagranicznemu kontrahentowi z tytu</w:t>
      </w:r>
      <w:r>
        <w:t>ł</w:t>
      </w:r>
      <w:r>
        <w:t>u u</w:t>
      </w:r>
      <w:r>
        <w:t>ż</w:t>
      </w:r>
      <w:r>
        <w:t>ytkowa</w:t>
      </w:r>
      <w:r>
        <w:t>nia oprogramowania komputerowego nie stanowi nale</w:t>
      </w:r>
      <w:r>
        <w:t>ż</w:t>
      </w:r>
      <w:r>
        <w:t>no</w:t>
      </w:r>
      <w:r>
        <w:t>ś</w:t>
      </w:r>
      <w:r>
        <w:t>ci licencyjnych i nie podlega w Polsce opodatkowaniu podatkiem dochodowym. W zwi</w:t>
      </w:r>
      <w:r>
        <w:t>ą</w:t>
      </w:r>
      <w:r>
        <w:t>zku z powy</w:t>
      </w:r>
      <w:r>
        <w:t>ż</w:t>
      </w:r>
      <w:r>
        <w:t>szym nie jest ona zobowi</w:t>
      </w:r>
      <w:r>
        <w:t>ą</w:t>
      </w:r>
      <w:r>
        <w:t>zana na podstawie art. 26 ust. 1 PDOPrU do pobrania zrycza</w:t>
      </w:r>
      <w:r>
        <w:t>ł</w:t>
      </w:r>
      <w:r>
        <w:t>towanego podatku dochodoweg</w:t>
      </w:r>
      <w:r>
        <w:t>o, o kt</w:t>
      </w:r>
      <w:r>
        <w:t>ó</w:t>
      </w:r>
      <w:r>
        <w:t>rym mowa w art. 21 ust. 1 PDOPrU.</w:t>
      </w:r>
    </w:p>
    <w:p w:rsidR="00000000" w:rsidRDefault="00BB0AD5">
      <w:pPr>
        <w:pStyle w:val="p"/>
      </w:pPr>
      <w:r>
        <w:t xml:space="preserve"> Minister Finans</w:t>
      </w:r>
      <w:r>
        <w:t>ó</w:t>
      </w:r>
      <w:r>
        <w:t>w postanowieniem z dnia 2 pa</w:t>
      </w:r>
      <w:r>
        <w:t>ź</w:t>
      </w:r>
      <w:r>
        <w:t>dziernika 2007 r. uzna</w:t>
      </w:r>
      <w:r>
        <w:t>ł</w:t>
      </w:r>
      <w:r>
        <w:t xml:space="preserve"> powy</w:t>
      </w:r>
      <w:r>
        <w:t>ż</w:t>
      </w:r>
      <w:r>
        <w:t>sze stanowisko za nieprawid</w:t>
      </w:r>
      <w:r>
        <w:t>ł</w:t>
      </w:r>
      <w:r>
        <w:t>owe stwierdzaj</w:t>
      </w:r>
      <w:r>
        <w:t>ą</w:t>
      </w:r>
      <w:r>
        <w:t xml:space="preserve">c, </w:t>
      </w:r>
      <w:r>
        <w:t>ż</w:t>
      </w:r>
      <w:r>
        <w:t>e o zakwalifikowaniu wynagrodzenia za oprogramowanie do nale</w:t>
      </w:r>
      <w:r>
        <w:t>ż</w:t>
      </w:r>
      <w:r>
        <w:t>no</w:t>
      </w:r>
      <w:r>
        <w:t>ś</w:t>
      </w:r>
      <w:r>
        <w:t>ci licencyjnych, w rozumieni</w:t>
      </w:r>
      <w:r>
        <w:t>u art. 12 Umowy, decyduje spos</w:t>
      </w:r>
      <w:r>
        <w:t>ó</w:t>
      </w:r>
      <w:r>
        <w:t>b wykorzystania tego programu. Brak wyra</w:t>
      </w:r>
      <w:r>
        <w:t>ź</w:t>
      </w:r>
      <w:r>
        <w:t>nego wskazania oprogramowania komputerowego w art. 12 ust. 3 lit. a) Umowy nie przes</w:t>
      </w:r>
      <w:r>
        <w:t>ą</w:t>
      </w:r>
      <w:r>
        <w:t>dza o wy</w:t>
      </w:r>
      <w:r>
        <w:t>łą</w:t>
      </w:r>
      <w:r>
        <w:t>czeniu tego dochodu spod postanowie</w:t>
      </w:r>
      <w:r>
        <w:t>ń</w:t>
      </w:r>
      <w:r>
        <w:t xml:space="preserve"> artyku</w:t>
      </w:r>
      <w:r>
        <w:t>ł</w:t>
      </w:r>
      <w:r>
        <w:t>u.</w:t>
      </w:r>
    </w:p>
    <w:p w:rsidR="00000000" w:rsidRDefault="00BB0AD5">
      <w:pPr>
        <w:pStyle w:val="p"/>
      </w:pPr>
      <w:r>
        <w:t xml:space="preserve"> W za</w:t>
      </w:r>
      <w:r>
        <w:t>ż</w:t>
      </w:r>
      <w:r>
        <w:t>aleniu na powy</w:t>
      </w:r>
      <w:r>
        <w:t>ż</w:t>
      </w:r>
      <w:r>
        <w:t>sze postanowienie sp</w:t>
      </w:r>
      <w:r>
        <w:t>ó</w:t>
      </w:r>
      <w:r>
        <w:t>ł</w:t>
      </w:r>
      <w:r>
        <w:t>ka podnios</w:t>
      </w:r>
      <w:r>
        <w:t>ł</w:t>
      </w:r>
      <w:r>
        <w:t>a zarzut naruszenia art. 12 ust. 3 lit. a) Umowy. W jej ocenie, brak wyra</w:t>
      </w:r>
      <w:r>
        <w:t>ź</w:t>
      </w:r>
      <w:r>
        <w:t>nego wskazania oprogramowania komputerowego w definicji nale</w:t>
      </w:r>
      <w:r>
        <w:t>ż</w:t>
      </w:r>
      <w:r>
        <w:t>no</w:t>
      </w:r>
      <w:r>
        <w:t>ś</w:t>
      </w:r>
      <w:r>
        <w:t>ci licencyjnych zawartej w art. 3 lit. a) ust. 3 lit. a) Umowy wskazuje na brak podstaw do uznawania nale</w:t>
      </w:r>
      <w:r>
        <w:t>ż</w:t>
      </w:r>
      <w:r>
        <w:t>no</w:t>
      </w:r>
      <w:r>
        <w:t>ś</w:t>
      </w:r>
      <w:r>
        <w:t>ci za u</w:t>
      </w:r>
      <w:r>
        <w:t>ż</w:t>
      </w:r>
      <w:r>
        <w:t>ytkowanie oprogramowania komputerowego jako nale</w:t>
      </w:r>
      <w:r>
        <w:t>ż</w:t>
      </w:r>
      <w:r>
        <w:t>no</w:t>
      </w:r>
      <w:r>
        <w:t>ś</w:t>
      </w:r>
      <w:r>
        <w:t>ci licencyjnych. Wskaza</w:t>
      </w:r>
      <w:r>
        <w:t>ł</w:t>
      </w:r>
      <w:r>
        <w:t>a tak</w:t>
      </w:r>
      <w:r>
        <w:t>ż</w:t>
      </w:r>
      <w:r>
        <w:t xml:space="preserve">e, </w:t>
      </w:r>
      <w:r>
        <w:t>ż</w:t>
      </w:r>
      <w:r>
        <w:t>e na gruncie ustawy z dnia 4 lutego 1994 r. o prawie autorskim i prawach pokrewnych (Dz.U. z 2006 r. Nr 90, poz. 631 ze zm. dalej prawo autorskie), program kom</w:t>
      </w:r>
      <w:r>
        <w:t>puterowy stanowi samodzielny przedmiot ochrony autorskiej i nie mo</w:t>
      </w:r>
      <w:r>
        <w:t>ż</w:t>
      </w:r>
      <w:r>
        <w:t>e by</w:t>
      </w:r>
      <w:r>
        <w:t>ć</w:t>
      </w:r>
      <w:r>
        <w:t xml:space="preserve"> uto</w:t>
      </w:r>
      <w:r>
        <w:t>ż</w:t>
      </w:r>
      <w:r>
        <w:t>samiany z dzie</w:t>
      </w:r>
      <w:r>
        <w:t>ł</w:t>
      </w:r>
      <w:r>
        <w:t>em literackim.</w:t>
      </w:r>
    </w:p>
    <w:p w:rsidR="00000000" w:rsidRDefault="00BB0AD5">
      <w:pPr>
        <w:pStyle w:val="p"/>
      </w:pPr>
      <w:r>
        <w:t xml:space="preserve"> Decyzj</w:t>
      </w:r>
      <w:r>
        <w:t>ą</w:t>
      </w:r>
      <w:r>
        <w:t xml:space="preserve"> z dnia 21 pa</w:t>
      </w:r>
      <w:r>
        <w:t>ź</w:t>
      </w:r>
      <w:r>
        <w:t>dziernika 2007 r., wydan</w:t>
      </w:r>
      <w:r>
        <w:t>ą</w:t>
      </w:r>
      <w:r>
        <w:t xml:space="preserve"> na podstawie art. 14b </w:t>
      </w:r>
      <w:r>
        <w:t>§</w:t>
      </w:r>
      <w:r>
        <w:t xml:space="preserve"> 5 pkt 1 oraz art. 14e </w:t>
      </w:r>
      <w:r>
        <w:t>§</w:t>
      </w:r>
      <w:r>
        <w:t xml:space="preserve"> 2 ustawy z dnia 29 sierpnia 1997 r. Ordynacja podatko</w:t>
      </w:r>
      <w:r>
        <w:t>wa (Dz.U. z 2005 r. Nr 8, poz. 60 ze zm. dalej OrdPU), Minister Finans</w:t>
      </w:r>
      <w:r>
        <w:t>ó</w:t>
      </w:r>
      <w:r>
        <w:t>w odm</w:t>
      </w:r>
      <w:r>
        <w:t>ó</w:t>
      </w:r>
      <w:r>
        <w:t>wi</w:t>
      </w:r>
      <w:r>
        <w:t>ł</w:t>
      </w:r>
      <w:r>
        <w:t xml:space="preserve"> uchylenia postanowienia z dnia 2 pa</w:t>
      </w:r>
      <w:r>
        <w:t>ź</w:t>
      </w:r>
      <w:r>
        <w:t>dziernika 2007 r. W uzasadnieniu wskaza</w:t>
      </w:r>
      <w:r>
        <w:t>ł</w:t>
      </w:r>
      <w:r>
        <w:t xml:space="preserve"> art. 3 ust. 2 PDOPrU oraz art. 21 ust. 1 PDOPrU i wyja</w:t>
      </w:r>
      <w:r>
        <w:t>ś</w:t>
      </w:r>
      <w:r>
        <w:t>ni</w:t>
      </w:r>
      <w:r>
        <w:t>ł</w:t>
      </w:r>
      <w:r>
        <w:t xml:space="preserve">, </w:t>
      </w:r>
      <w:r>
        <w:t>ż</w:t>
      </w:r>
      <w:r>
        <w:t>e istot</w:t>
      </w:r>
      <w:r>
        <w:t>ą</w:t>
      </w:r>
      <w:r>
        <w:t xml:space="preserve"> sporu jest okre</w:t>
      </w:r>
      <w:r>
        <w:t>ś</w:t>
      </w:r>
      <w:r>
        <w:t>lenie zakres</w:t>
      </w:r>
      <w:r>
        <w:t>u poj</w:t>
      </w:r>
      <w:r>
        <w:t>ę</w:t>
      </w:r>
      <w:r>
        <w:t>cia "dzie</w:t>
      </w:r>
      <w:r>
        <w:t>ł</w:t>
      </w:r>
      <w:r>
        <w:t>a literackie, artystyczne lub naukowe", u</w:t>
      </w:r>
      <w:r>
        <w:t>ż</w:t>
      </w:r>
      <w:r>
        <w:t>ytego w art. 12 ust. 3 lit. a) Umowy. W ocenie organu, przyj</w:t>
      </w:r>
      <w:r>
        <w:t>ę</w:t>
      </w:r>
      <w:r>
        <w:t>cie stanowiska sp</w:t>
      </w:r>
      <w:r>
        <w:t>ół</w:t>
      </w:r>
      <w:r>
        <w:t>ki, aby poj</w:t>
      </w:r>
      <w:r>
        <w:t>ę</w:t>
      </w:r>
      <w:r>
        <w:t>ciu "dzie</w:t>
      </w:r>
      <w:r>
        <w:t>ł</w:t>
      </w:r>
      <w:r>
        <w:t>o literackie, artystyczne lub naukowe" przypisywa</w:t>
      </w:r>
      <w:r>
        <w:t>ć</w:t>
      </w:r>
      <w:r>
        <w:t xml:space="preserve"> znaczenie, jakie zosta</w:t>
      </w:r>
      <w:r>
        <w:t>ł</w:t>
      </w:r>
      <w:r>
        <w:t>o nadane mu przez praw</w:t>
      </w:r>
      <w:r>
        <w:t>o autorskie, prowadzi</w:t>
      </w:r>
      <w:r>
        <w:t>ł</w:t>
      </w:r>
      <w:r>
        <w:t>oby do wniosk</w:t>
      </w:r>
      <w:r>
        <w:t>ó</w:t>
      </w:r>
      <w:r>
        <w:t xml:space="preserve">w, </w:t>
      </w:r>
      <w:r>
        <w:t>ż</w:t>
      </w:r>
      <w:r>
        <w:t>e dzie</w:t>
      </w:r>
      <w:r>
        <w:t>ł</w:t>
      </w:r>
      <w:r>
        <w:t>o publicystyczne nie mo</w:t>
      </w:r>
      <w:r>
        <w:t>ż</w:t>
      </w:r>
      <w:r>
        <w:t>e zosta</w:t>
      </w:r>
      <w:r>
        <w:t>ć</w:t>
      </w:r>
      <w:r>
        <w:t xml:space="preserve"> uznane za dzie</w:t>
      </w:r>
      <w:r>
        <w:t>ł</w:t>
      </w:r>
      <w:r>
        <w:t>o literackie w rozumieniu art. 12 ust. 3 lit. a) Umowy.</w:t>
      </w:r>
    </w:p>
    <w:p w:rsidR="00000000" w:rsidRDefault="00BB0AD5">
      <w:pPr>
        <w:pStyle w:val="p"/>
      </w:pPr>
      <w:r>
        <w:t xml:space="preserve"> Minister Finans</w:t>
      </w:r>
      <w:r>
        <w:t>ó</w:t>
      </w:r>
      <w:r>
        <w:t>w podkre</w:t>
      </w:r>
      <w:r>
        <w:t>ś</w:t>
      </w:r>
      <w:r>
        <w:t>li</w:t>
      </w:r>
      <w:r>
        <w:t>ł</w:t>
      </w:r>
      <w:r>
        <w:t xml:space="preserve">, </w:t>
      </w:r>
      <w:r>
        <w:t>ż</w:t>
      </w:r>
      <w:r>
        <w:t>e postanowienia Umowy, nale</w:t>
      </w:r>
      <w:r>
        <w:t>żą</w:t>
      </w:r>
      <w:r>
        <w:t>c do norm prawa mi</w:t>
      </w:r>
      <w:r>
        <w:t>ę</w:t>
      </w:r>
      <w:r>
        <w:t>dzynarodowego, nie zawsze</w:t>
      </w:r>
      <w:r>
        <w:t xml:space="preserve"> mog</w:t>
      </w:r>
      <w:r>
        <w:t>ą</w:t>
      </w:r>
      <w:r>
        <w:t xml:space="preserve"> by</w:t>
      </w:r>
      <w:r>
        <w:t>ć</w:t>
      </w:r>
      <w:r>
        <w:t xml:space="preserve"> interpretowane zgodnie z wyk</w:t>
      </w:r>
      <w:r>
        <w:t>ł</w:t>
      </w:r>
      <w:r>
        <w:t>adni</w:t>
      </w:r>
      <w:r>
        <w:t>ą</w:t>
      </w:r>
      <w:r>
        <w:t xml:space="preserve"> j</w:t>
      </w:r>
      <w:r>
        <w:t>ę</w:t>
      </w:r>
      <w:r>
        <w:t>zykow</w:t>
      </w:r>
      <w:r>
        <w:t>ą</w:t>
      </w:r>
      <w:r>
        <w:t>. Wyja</w:t>
      </w:r>
      <w:r>
        <w:t>ś</w:t>
      </w:r>
      <w:r>
        <w:t>ni</w:t>
      </w:r>
      <w:r>
        <w:t>ł</w:t>
      </w:r>
      <w:r>
        <w:t xml:space="preserve">, </w:t>
      </w:r>
      <w:r>
        <w:t>ż</w:t>
      </w:r>
      <w:r>
        <w:t>e przyj</w:t>
      </w:r>
      <w:r>
        <w:t>ę</w:t>
      </w:r>
      <w:r>
        <w:t>cie takiego stanowiska jest akceptowalne tak</w:t>
      </w:r>
      <w:r>
        <w:t>ż</w:t>
      </w:r>
      <w:r>
        <w:t>e na gruncie Konwencji wiede</w:t>
      </w:r>
      <w:r>
        <w:t>ń</w:t>
      </w:r>
      <w:r>
        <w:t>skiej z dnia 23 maja 1969 r. o prawie traktat</w:t>
      </w:r>
      <w:r>
        <w:t>ó</w:t>
      </w:r>
      <w:r>
        <w:t>w (Dz.U. z 1990 r. Nr 74, poz. 439 dalej "Konwencja Wiede</w:t>
      </w:r>
      <w:r>
        <w:t>ń</w:t>
      </w:r>
      <w:r>
        <w:t>ska"</w:t>
      </w:r>
      <w:r>
        <w:t>) i wskaza</w:t>
      </w:r>
      <w:r>
        <w:t>ł</w:t>
      </w:r>
      <w:r>
        <w:t xml:space="preserve"> art. 31 ust. 3 lit. c tej Konwencji.</w:t>
      </w:r>
    </w:p>
    <w:p w:rsidR="00000000" w:rsidRDefault="00BB0AD5">
      <w:pPr>
        <w:pStyle w:val="p"/>
      </w:pPr>
      <w:r>
        <w:t xml:space="preserve"> Zdaniem Ministra Finans</w:t>
      </w:r>
      <w:r>
        <w:t>ó</w:t>
      </w:r>
      <w:r>
        <w:t>w, fakt, i</w:t>
      </w:r>
      <w:r>
        <w:t>ż</w:t>
      </w:r>
      <w:r>
        <w:t xml:space="preserve"> w umowach mi</w:t>
      </w:r>
      <w:r>
        <w:t>ę</w:t>
      </w:r>
      <w:r>
        <w:t>dzynarodowych pod poj</w:t>
      </w:r>
      <w:r>
        <w:t>ę</w:t>
      </w:r>
      <w:r>
        <w:t>ciem dzie</w:t>
      </w:r>
      <w:r>
        <w:t>ł</w:t>
      </w:r>
      <w:r>
        <w:t xml:space="preserve"> literackich rozumie si</w:t>
      </w:r>
      <w:r>
        <w:t>ę</w:t>
      </w:r>
      <w:r>
        <w:t xml:space="preserve"> opr</w:t>
      </w:r>
      <w:r>
        <w:t>ó</w:t>
      </w:r>
      <w:r>
        <w:t>cz dzie</w:t>
      </w:r>
      <w:r>
        <w:t>ł</w:t>
      </w:r>
      <w:r>
        <w:t xml:space="preserve"> literackich tak</w:t>
      </w:r>
      <w:r>
        <w:t>ż</w:t>
      </w:r>
      <w:r>
        <w:t>e m.in. program komputerowy, pozwala rozszerzy</w:t>
      </w:r>
      <w:r>
        <w:t>ć</w:t>
      </w:r>
      <w:r>
        <w:t xml:space="preserve"> t</w:t>
      </w:r>
      <w:r>
        <w:t>ę</w:t>
      </w:r>
      <w:r>
        <w:t xml:space="preserve"> regu</w:t>
      </w:r>
      <w:r>
        <w:t>łę</w:t>
      </w:r>
      <w:r>
        <w:t xml:space="preserve"> na wszelkie n</w:t>
      </w:r>
      <w:r>
        <w:t>ormy prawa mi</w:t>
      </w:r>
      <w:r>
        <w:t>ę</w:t>
      </w:r>
      <w:r>
        <w:t>dzynarodowego, w tym tak</w:t>
      </w:r>
      <w:r>
        <w:t>ż</w:t>
      </w:r>
      <w:r>
        <w:t>e na postanowienia art. 12 ust. 3 lit. a) Umowy.</w:t>
      </w:r>
    </w:p>
    <w:p w:rsidR="00000000" w:rsidRDefault="00BB0AD5">
      <w:pPr>
        <w:pStyle w:val="p"/>
      </w:pPr>
      <w:r>
        <w:t xml:space="preserve"> W skardze skierowanej Wojew</w:t>
      </w:r>
      <w:r>
        <w:t>ó</w:t>
      </w:r>
      <w:r>
        <w:t>dzkiego S</w:t>
      </w:r>
      <w:r>
        <w:t>ą</w:t>
      </w:r>
      <w:r>
        <w:t>du Administracyjnego w Warszawie sp</w:t>
      </w:r>
      <w:r>
        <w:t>ół</w:t>
      </w:r>
      <w:r>
        <w:t>ka, zarzucaj</w:t>
      </w:r>
      <w:r>
        <w:t>ą</w:t>
      </w:r>
      <w:r>
        <w:t>c decyzji Ministra Finans</w:t>
      </w:r>
      <w:r>
        <w:t>ó</w:t>
      </w:r>
      <w:r>
        <w:t>w b</w:t>
      </w:r>
      <w:r>
        <w:t>łę</w:t>
      </w:r>
      <w:r>
        <w:t>dn</w:t>
      </w:r>
      <w:r>
        <w:t>ą</w:t>
      </w:r>
      <w:r>
        <w:t xml:space="preserve"> wyk</w:t>
      </w:r>
      <w:r>
        <w:t>ł</w:t>
      </w:r>
      <w:r>
        <w:t>adni</w:t>
      </w:r>
      <w:r>
        <w:t>ę</w:t>
      </w:r>
      <w:r>
        <w:t xml:space="preserve"> art. 12 Umowy, wnios</w:t>
      </w:r>
      <w:r>
        <w:t>ł</w:t>
      </w:r>
      <w:r>
        <w:t>a o jej uchyl</w:t>
      </w:r>
      <w:r>
        <w:t>enie oraz o zas</w:t>
      </w:r>
      <w:r>
        <w:t>ą</w:t>
      </w:r>
      <w:r>
        <w:t>dzenie na jej rzecz koszt</w:t>
      </w:r>
      <w:r>
        <w:t>ó</w:t>
      </w:r>
      <w:r>
        <w:t>w post</w:t>
      </w:r>
      <w:r>
        <w:t>ę</w:t>
      </w:r>
      <w:r>
        <w:t>powania.</w:t>
      </w:r>
    </w:p>
    <w:p w:rsidR="00000000" w:rsidRDefault="00BB0AD5">
      <w:pPr>
        <w:pStyle w:val="p"/>
      </w:pPr>
      <w:r>
        <w:t xml:space="preserve"> W uzasadnieniu skargi podniesiono, </w:t>
      </w:r>
      <w:r>
        <w:t>ż</w:t>
      </w:r>
      <w:r>
        <w:t>e wynagrodzenie zwi</w:t>
      </w:r>
      <w:r>
        <w:t>ą</w:t>
      </w:r>
      <w:r>
        <w:t>zane z zakupem oprogramowania powinno podlega</w:t>
      </w:r>
      <w:r>
        <w:t>ć</w:t>
      </w:r>
      <w:r>
        <w:t xml:space="preserve"> opodatkowaniu zgodnie z art. 7 ust. 1 Umowy, tylko w pa</w:t>
      </w:r>
      <w:r>
        <w:t>ń</w:t>
      </w:r>
      <w:r>
        <w:t>stwie siedziby podmiotu doch</w:t>
      </w:r>
      <w:r>
        <w:t>ó</w:t>
      </w:r>
      <w:r>
        <w:t>d taki uz</w:t>
      </w:r>
      <w:r>
        <w:t>yskuj</w:t>
      </w:r>
      <w:r>
        <w:t>ą</w:t>
      </w:r>
      <w:r>
        <w:t>cego, jako "zysk przedsi</w:t>
      </w:r>
      <w:r>
        <w:t>ę</w:t>
      </w:r>
      <w:r>
        <w:t>biorstwa".</w:t>
      </w:r>
    </w:p>
    <w:p w:rsidR="00000000" w:rsidRDefault="00BB0AD5">
      <w:pPr>
        <w:pStyle w:val="p"/>
      </w:pPr>
      <w:r>
        <w:t xml:space="preserve"> W odpowiedzi na skarg</w:t>
      </w:r>
      <w:r>
        <w:t>ę</w:t>
      </w:r>
      <w:r>
        <w:t>, Minister Finans</w:t>
      </w:r>
      <w:r>
        <w:t>ó</w:t>
      </w:r>
      <w:r>
        <w:t>w podtrzyma</w:t>
      </w:r>
      <w:r>
        <w:t>ł</w:t>
      </w:r>
      <w:r>
        <w:t xml:space="preserve"> argumentacj</w:t>
      </w:r>
      <w:r>
        <w:t>ę</w:t>
      </w:r>
      <w:r>
        <w:t xml:space="preserve"> zawart</w:t>
      </w:r>
      <w:r>
        <w:t>ą</w:t>
      </w:r>
      <w:r>
        <w:t xml:space="preserve"> w zaskar</w:t>
      </w:r>
      <w:r>
        <w:t>ż</w:t>
      </w:r>
      <w:r>
        <w:t>onej decyzji i wni</w:t>
      </w:r>
      <w:r>
        <w:t>ó</w:t>
      </w:r>
      <w:r>
        <w:t>s</w:t>
      </w:r>
      <w:r>
        <w:t>ł</w:t>
      </w:r>
      <w:r>
        <w:t xml:space="preserve"> o oddalenie skargi. Dodatkowo podni</w:t>
      </w:r>
      <w:r>
        <w:t>ó</w:t>
      </w:r>
      <w:r>
        <w:t>s</w:t>
      </w:r>
      <w:r>
        <w:t>ł</w:t>
      </w:r>
      <w:r>
        <w:t xml:space="preserve">, </w:t>
      </w:r>
      <w:r>
        <w:t>ż</w:t>
      </w:r>
      <w:r>
        <w:t xml:space="preserve">e zgodnie z art. 2 lit. b Dyrektywy Rady 03/49/WE z dnia 3 czerwca </w:t>
      </w:r>
      <w:r>
        <w:t>2003 r. w sprawie wsp</w:t>
      </w:r>
      <w:r>
        <w:t>ó</w:t>
      </w:r>
      <w:r>
        <w:t>lnego systemu opodatkowania stosowanego od odsetek oraz nale</w:t>
      </w:r>
      <w:r>
        <w:t>ż</w:t>
      </w:r>
      <w:r>
        <w:t>no</w:t>
      </w:r>
      <w:r>
        <w:t>ś</w:t>
      </w:r>
      <w:r>
        <w:t>ci licencyjnych mi</w:t>
      </w:r>
      <w:r>
        <w:t>ę</w:t>
      </w:r>
      <w:r>
        <w:t>dzy powi</w:t>
      </w:r>
      <w:r>
        <w:t>ą</w:t>
      </w:r>
      <w:r>
        <w:t>zanymi sp</w:t>
      </w:r>
      <w:r>
        <w:t>ół</w:t>
      </w:r>
      <w:r>
        <w:t>kami r</w:t>
      </w:r>
      <w:r>
        <w:t>óż</w:t>
      </w:r>
      <w:r>
        <w:t>nych Pa</w:t>
      </w:r>
      <w:r>
        <w:t>ń</w:t>
      </w:r>
      <w:r>
        <w:t>stw Cz</w:t>
      </w:r>
      <w:r>
        <w:t>ł</w:t>
      </w:r>
      <w:r>
        <w:t>onkowskich (Dz.U. UE L z 2003 r. Nr 157, s. 49 ze zm. dalej Dyrektywa 03/49/WE) wszelkie prawa autorskie w z</w:t>
      </w:r>
      <w:r>
        <w:t>akresie prac literackich, artystycznych lub naukowych obejmuj</w:t>
      </w:r>
      <w:r>
        <w:t>ą</w:t>
      </w:r>
      <w:r>
        <w:t xml:space="preserve"> tak</w:t>
      </w:r>
      <w:r>
        <w:t>ż</w:t>
      </w:r>
      <w:r>
        <w:t>e oprogramowanie.</w:t>
      </w:r>
    </w:p>
    <w:p w:rsidR="00000000" w:rsidRDefault="00BB0AD5">
      <w:pPr>
        <w:pStyle w:val="p"/>
      </w:pPr>
      <w:r>
        <w:t xml:space="preserve"> Wojew</w:t>
      </w:r>
      <w:r>
        <w:t>ó</w:t>
      </w:r>
      <w:r>
        <w:t>dzki S</w:t>
      </w:r>
      <w:r>
        <w:t>ą</w:t>
      </w:r>
      <w:r>
        <w:t>d Administracyjny w Warszawie wyrokiem z dnia 4 kwietnia 2008 r., III SA/WA 2153/07, uchyli</w:t>
      </w:r>
      <w:r>
        <w:t>ł</w:t>
      </w:r>
      <w:r>
        <w:t xml:space="preserve"> zaskar</w:t>
      </w:r>
      <w:r>
        <w:t>ż</w:t>
      </w:r>
      <w:r>
        <w:t>on</w:t>
      </w:r>
      <w:r>
        <w:t>ą</w:t>
      </w:r>
      <w:r>
        <w:t xml:space="preserve"> decyzj</w:t>
      </w:r>
      <w:r>
        <w:t>ę</w:t>
      </w:r>
      <w:r>
        <w:t>.</w:t>
      </w:r>
    </w:p>
    <w:p w:rsidR="00000000" w:rsidRDefault="00BB0AD5">
      <w:pPr>
        <w:pStyle w:val="p"/>
      </w:pPr>
      <w:r>
        <w:t xml:space="preserve"> S</w:t>
      </w:r>
      <w:r>
        <w:t>ą</w:t>
      </w:r>
      <w:r>
        <w:t>d wskaza</w:t>
      </w:r>
      <w:r>
        <w:t>ł</w:t>
      </w:r>
      <w:r>
        <w:t xml:space="preserve"> art. 21 ust. 1 pkt 1 i ust. 2 P</w:t>
      </w:r>
      <w:r>
        <w:t>DOPrU i uzna</w:t>
      </w:r>
      <w:r>
        <w:t>ł</w:t>
      </w:r>
      <w:r>
        <w:t xml:space="preserve">, </w:t>
      </w:r>
      <w:r>
        <w:t>ż</w:t>
      </w:r>
      <w:r>
        <w:t>e stanowisko Ministra Finans</w:t>
      </w:r>
      <w:r>
        <w:t>ó</w:t>
      </w:r>
      <w:r>
        <w:t>w jest nieuzasadnione. Przytoczono tre</w:t>
      </w:r>
      <w:r>
        <w:t>ść</w:t>
      </w:r>
      <w:r>
        <w:t xml:space="preserve"> art. 3 ust. 2 Umowy oraz art. 1 ust. 2 prawa autorskiego i wyja</w:t>
      </w:r>
      <w:r>
        <w:t>ś</w:t>
      </w:r>
      <w:r>
        <w:t xml:space="preserve">niono, </w:t>
      </w:r>
      <w:r>
        <w:t>ż</w:t>
      </w:r>
      <w:r>
        <w:t>e na gruncie powo</w:t>
      </w:r>
      <w:r>
        <w:t>ł</w:t>
      </w:r>
      <w:r>
        <w:t>anych przepis</w:t>
      </w:r>
      <w:r>
        <w:t>ó</w:t>
      </w:r>
      <w:r>
        <w:t>w programy komputerowe s</w:t>
      </w:r>
      <w:r>
        <w:t>ą</w:t>
      </w:r>
      <w:r>
        <w:t xml:space="preserve"> samodzielnym przedmiotem ochrony praw au</w:t>
      </w:r>
      <w:r>
        <w:t>torskich. S</w:t>
      </w:r>
      <w:r>
        <w:t>ą</w:t>
      </w:r>
      <w:r>
        <w:t>d stwierdzi</w:t>
      </w:r>
      <w:r>
        <w:t>ł</w:t>
      </w:r>
      <w:r>
        <w:t xml:space="preserve">, </w:t>
      </w:r>
      <w:r>
        <w:t>ż</w:t>
      </w:r>
      <w:r>
        <w:t>e skoro program komputerowy nie stanowi dzie</w:t>
      </w:r>
      <w:r>
        <w:t>ł</w:t>
      </w:r>
      <w:r>
        <w:t>a literackiego, ani naukowego, w rozumieniu polskiej regulacji w zakresie prawa autorskiego, to na podstawie art. 12 w zw. z art. 3 ust. 2 Umowy, nie mo</w:t>
      </w:r>
      <w:r>
        <w:t>ż</w:t>
      </w:r>
      <w:r>
        <w:t>e by</w:t>
      </w:r>
      <w:r>
        <w:t>ć</w:t>
      </w:r>
      <w:r>
        <w:t xml:space="preserve"> zakwalifikowany do nale</w:t>
      </w:r>
      <w:r>
        <w:t>ż</w:t>
      </w:r>
      <w:r>
        <w:t>n</w:t>
      </w:r>
      <w:r>
        <w:t>o</w:t>
      </w:r>
      <w:r>
        <w:t>ś</w:t>
      </w:r>
      <w:r>
        <w:t>ci licencyjnych. Tym samym p</w:t>
      </w:r>
      <w:r>
        <w:t>ł</w:t>
      </w:r>
      <w:r>
        <w:t>atno</w:t>
      </w:r>
      <w:r>
        <w:t>ść</w:t>
      </w:r>
      <w:r>
        <w:t xml:space="preserve"> dokonana przez sp</w:t>
      </w:r>
      <w:r>
        <w:t>ół</w:t>
      </w:r>
      <w:r>
        <w:t>k</w:t>
      </w:r>
      <w:r>
        <w:t>ę</w:t>
      </w:r>
      <w:r>
        <w:t xml:space="preserve"> na rzecz jej kontrahent</w:t>
      </w:r>
      <w:r>
        <w:t>ó</w:t>
      </w:r>
      <w:r>
        <w:t>w tytu</w:t>
      </w:r>
      <w:r>
        <w:t>ł</w:t>
      </w:r>
      <w:r>
        <w:t>em korzystania z oprogramowania komputerowego nie mo</w:t>
      </w:r>
      <w:r>
        <w:t>ż</w:t>
      </w:r>
      <w:r>
        <w:t>e podlega</w:t>
      </w:r>
      <w:r>
        <w:t>ć</w:t>
      </w:r>
      <w:r>
        <w:t xml:space="preserve"> opodatkowaniu podatkiem u </w:t>
      </w:r>
      <w:r>
        <w:t>ź</w:t>
      </w:r>
      <w:r>
        <w:t>r</w:t>
      </w:r>
      <w:r>
        <w:t>ó</w:t>
      </w:r>
      <w:r>
        <w:t>d</w:t>
      </w:r>
      <w:r>
        <w:t>ł</w:t>
      </w:r>
      <w:r>
        <w:t>a na zasadach przewidzianych dla nale</w:t>
      </w:r>
      <w:r>
        <w:t>ż</w:t>
      </w:r>
      <w:r>
        <w:t>no</w:t>
      </w:r>
      <w:r>
        <w:t>ś</w:t>
      </w:r>
      <w:r>
        <w:t>ci licencyjnych.</w:t>
      </w:r>
    </w:p>
    <w:p w:rsidR="00000000" w:rsidRDefault="00BB0AD5">
      <w:pPr>
        <w:pStyle w:val="p"/>
      </w:pPr>
      <w:r>
        <w:t xml:space="preserve"> S</w:t>
      </w:r>
      <w:r>
        <w:t>ą</w:t>
      </w:r>
      <w:r>
        <w:t>d podziel</w:t>
      </w:r>
      <w:r>
        <w:t>i</w:t>
      </w:r>
      <w:r>
        <w:t>ł</w:t>
      </w:r>
      <w:r>
        <w:t xml:space="preserve"> pogl</w:t>
      </w:r>
      <w:r>
        <w:t>ą</w:t>
      </w:r>
      <w:r>
        <w:t xml:space="preserve">d, </w:t>
      </w:r>
      <w:r>
        <w:t>ż</w:t>
      </w:r>
      <w:r>
        <w:t>e skoro w tre</w:t>
      </w:r>
      <w:r>
        <w:t>ś</w:t>
      </w:r>
      <w:r>
        <w:t>ci Umowy w artykule definiuj</w:t>
      </w:r>
      <w:r>
        <w:t>ą</w:t>
      </w:r>
      <w:r>
        <w:t>cym nale</w:t>
      </w:r>
      <w:r>
        <w:t>ż</w:t>
      </w:r>
      <w:r>
        <w:t>no</w:t>
      </w:r>
      <w:r>
        <w:t>ś</w:t>
      </w:r>
      <w:r>
        <w:t>ci licencyjne nie wymieniono nale</w:t>
      </w:r>
      <w:r>
        <w:t>ż</w:t>
      </w:r>
      <w:r>
        <w:t>no</w:t>
      </w:r>
      <w:r>
        <w:t>ś</w:t>
      </w:r>
      <w:r>
        <w:t>ci z tytu</w:t>
      </w:r>
      <w:r>
        <w:t>ł</w:t>
      </w:r>
      <w:r>
        <w:t>u licencji do program</w:t>
      </w:r>
      <w:r>
        <w:t>ó</w:t>
      </w:r>
      <w:r>
        <w:t>w komputerowych, to maj</w:t>
      </w:r>
      <w:r>
        <w:t>ą</w:t>
      </w:r>
      <w:r>
        <w:t>c na uwadze obowi</w:t>
      </w:r>
      <w:r>
        <w:t>ą</w:t>
      </w:r>
      <w:r>
        <w:t>zuj</w:t>
      </w:r>
      <w:r>
        <w:t>ą</w:t>
      </w:r>
      <w:r>
        <w:t>cy w porz</w:t>
      </w:r>
      <w:r>
        <w:t>ą</w:t>
      </w:r>
      <w:r>
        <w:t>dek prawny, nie mo</w:t>
      </w:r>
      <w:r>
        <w:t>ż</w:t>
      </w:r>
      <w:r>
        <w:t>na ich przyporz</w:t>
      </w:r>
      <w:r>
        <w:t>ą</w:t>
      </w:r>
      <w:r>
        <w:t>dkowa</w:t>
      </w:r>
      <w:r>
        <w:t>ć</w:t>
      </w:r>
      <w:r>
        <w:t xml:space="preserve"> do </w:t>
      </w:r>
      <w:r>
        <w:t>ż</w:t>
      </w:r>
      <w:r>
        <w:t>adnej z wymieniony</w:t>
      </w:r>
      <w:r>
        <w:t>ch tam grup i co za tym idzie, nie mo</w:t>
      </w:r>
      <w:r>
        <w:t>ż</w:t>
      </w:r>
      <w:r>
        <w:t>na uzna</w:t>
      </w:r>
      <w:r>
        <w:t>ć</w:t>
      </w:r>
      <w:r>
        <w:t>, i</w:t>
      </w:r>
      <w:r>
        <w:t>ż</w:t>
      </w:r>
      <w:r>
        <w:t xml:space="preserve"> podlegaj</w:t>
      </w:r>
      <w:r>
        <w:t>ą</w:t>
      </w:r>
      <w:r>
        <w:t xml:space="preserve"> one w Polsce opodatkowaniu.</w:t>
      </w:r>
    </w:p>
    <w:p w:rsidR="00000000" w:rsidRDefault="00BB0AD5">
      <w:pPr>
        <w:pStyle w:val="p"/>
      </w:pPr>
      <w:r>
        <w:t xml:space="preserve"> Minister Finans</w:t>
      </w:r>
      <w:r>
        <w:t>ó</w:t>
      </w:r>
      <w:r>
        <w:t>w w skardze kasacyjnej wni</w:t>
      </w:r>
      <w:r>
        <w:t>ó</w:t>
      </w:r>
      <w:r>
        <w:t>s</w:t>
      </w:r>
      <w:r>
        <w:t>ł</w:t>
      </w:r>
      <w:r>
        <w:t xml:space="preserve"> o uchylenie zaskar</w:t>
      </w:r>
      <w:r>
        <w:t>ż</w:t>
      </w:r>
      <w:r>
        <w:t>onego wyroku w ca</w:t>
      </w:r>
      <w:r>
        <w:t>ł</w:t>
      </w:r>
      <w:r>
        <w:t>o</w:t>
      </w:r>
      <w:r>
        <w:t>ś</w:t>
      </w:r>
      <w:r>
        <w:t xml:space="preserve">ci, rozpoznanie skargi </w:t>
      </w:r>
      <w:r>
        <w:lastRenderedPageBreak/>
        <w:t>oraz jej oddalenie. W przypadku nieuwzgl</w:t>
      </w:r>
      <w:r>
        <w:t>ę</w:t>
      </w:r>
      <w:r>
        <w:t>dnienia powy</w:t>
      </w:r>
      <w:r>
        <w:t>ż</w:t>
      </w:r>
      <w:r>
        <w:t>szeg</w:t>
      </w:r>
      <w:r>
        <w:t>o, wniesiono o uchylenie zaskar</w:t>
      </w:r>
      <w:r>
        <w:t>ż</w:t>
      </w:r>
      <w:r>
        <w:t>onego orzeczenia w ca</w:t>
      </w:r>
      <w:r>
        <w:t>ł</w:t>
      </w:r>
      <w:r>
        <w:t>o</w:t>
      </w:r>
      <w:r>
        <w:t>ś</w:t>
      </w:r>
      <w:r>
        <w:t>ci i przekazanie sprawy do ponownego rozpoznania oraz zas</w:t>
      </w:r>
      <w:r>
        <w:t>ą</w:t>
      </w:r>
      <w:r>
        <w:t>dzenie koszt</w:t>
      </w:r>
      <w:r>
        <w:t>ó</w:t>
      </w:r>
      <w:r>
        <w:t>w post</w:t>
      </w:r>
      <w:r>
        <w:t>ę</w:t>
      </w:r>
      <w:r>
        <w:t>powania.</w:t>
      </w:r>
    </w:p>
    <w:p w:rsidR="00000000" w:rsidRDefault="00BB0AD5">
      <w:pPr>
        <w:pStyle w:val="p"/>
      </w:pPr>
      <w:r>
        <w:t xml:space="preserve"> Wnosz</w:t>
      </w:r>
      <w:r>
        <w:t>ą</w:t>
      </w:r>
      <w:r>
        <w:t>c powy</w:t>
      </w:r>
      <w:r>
        <w:t>ż</w:t>
      </w:r>
      <w:r>
        <w:t>sze, Minister Finans</w:t>
      </w:r>
      <w:r>
        <w:t>ó</w:t>
      </w:r>
      <w:r>
        <w:t>w zarzuci</w:t>
      </w:r>
      <w:r>
        <w:t>ł</w:t>
      </w:r>
      <w:r>
        <w:t xml:space="preserve"> zaskar</w:t>
      </w:r>
      <w:r>
        <w:t>ż</w:t>
      </w:r>
      <w:r>
        <w:t>onemu wyrokowi naruszenie prawa materialnego, tj. art. 174 p</w:t>
      </w:r>
      <w:r>
        <w:t>kt 1 ustawy z dnia 30 sierpnia 2002 r. - Prawo o post</w:t>
      </w:r>
      <w:r>
        <w:t>ę</w:t>
      </w:r>
      <w:r>
        <w:t>powaniu przed s</w:t>
      </w:r>
      <w:r>
        <w:t>ą</w:t>
      </w:r>
      <w:r>
        <w:t>dami administracyjnymi (Dz.U. Nr 153, poz. 1270 ze zm. dalej PostAdmU) poprzez b</w:t>
      </w:r>
      <w:r>
        <w:t>łę</w:t>
      </w:r>
      <w:r>
        <w:t>dn</w:t>
      </w:r>
      <w:r>
        <w:t>ą</w:t>
      </w:r>
      <w:r>
        <w:t xml:space="preserve"> wyk</w:t>
      </w:r>
      <w:r>
        <w:t>ł</w:t>
      </w:r>
      <w:r>
        <w:t>adni</w:t>
      </w:r>
      <w:r>
        <w:t>ę</w:t>
      </w:r>
      <w:r>
        <w:t xml:space="preserve"> art. 12 Umowy.</w:t>
      </w:r>
    </w:p>
    <w:p w:rsidR="00000000" w:rsidRDefault="00BB0AD5">
      <w:pPr>
        <w:pStyle w:val="p"/>
      </w:pPr>
      <w:r>
        <w:t xml:space="preserve"> W odpowiedzi na skarg</w:t>
      </w:r>
      <w:r>
        <w:t>ę</w:t>
      </w:r>
      <w:r>
        <w:t xml:space="preserve"> kasacyjn</w:t>
      </w:r>
      <w:r>
        <w:t>ą</w:t>
      </w:r>
      <w:r>
        <w:t xml:space="preserve"> sp</w:t>
      </w:r>
      <w:r>
        <w:t>ół</w:t>
      </w:r>
      <w:r>
        <w:t>ka wnios</w:t>
      </w:r>
      <w:r>
        <w:t>ł</w:t>
      </w:r>
      <w:r>
        <w:t>a o jej oddalenie.</w:t>
      </w:r>
    </w:p>
    <w:p w:rsidR="00000000" w:rsidRDefault="00BB0AD5">
      <w:pPr>
        <w:pStyle w:val="p"/>
      </w:pPr>
      <w:r>
        <w:t xml:space="preserve"> Naczelny S</w:t>
      </w:r>
      <w:r>
        <w:t>ą</w:t>
      </w:r>
      <w:r>
        <w:t>d Administracyjny zwa</w:t>
      </w:r>
      <w:r>
        <w:t>ż</w:t>
      </w:r>
      <w:r>
        <w:t>y</w:t>
      </w:r>
      <w:r>
        <w:t>ł</w:t>
      </w:r>
      <w:r>
        <w:t>, co nast</w:t>
      </w:r>
      <w:r>
        <w:t>ę</w:t>
      </w:r>
      <w:r>
        <w:t>puje.</w:t>
      </w:r>
    </w:p>
    <w:p w:rsidR="00000000" w:rsidRDefault="00BB0AD5">
      <w:pPr>
        <w:pStyle w:val="p"/>
      </w:pPr>
      <w:r>
        <w:t xml:space="preserve"> Skarga kasacyjna nie ma usprawiedliwionych podstaw, przeto nie zas</w:t>
      </w:r>
      <w:r>
        <w:t>ł</w:t>
      </w:r>
      <w:r>
        <w:t>uguje na uwzgl</w:t>
      </w:r>
      <w:r>
        <w:t>ę</w:t>
      </w:r>
      <w:r>
        <w:t>dnienie. Zosta</w:t>
      </w:r>
      <w:r>
        <w:t>ł</w:t>
      </w:r>
      <w:r>
        <w:t xml:space="preserve"> w niej sformu</w:t>
      </w:r>
      <w:r>
        <w:t>ł</w:t>
      </w:r>
      <w:r>
        <w:t>owany jeden zarzut naruszenia prawa materialnego, a mianowicie art. 12 umowy z dnia 13 list</w:t>
      </w:r>
      <w:r>
        <w:t>opada 1995 r. mi</w:t>
      </w:r>
      <w:r>
        <w:t>ę</w:t>
      </w:r>
      <w:r>
        <w:t>dzy Rz</w:t>
      </w:r>
      <w:r>
        <w:t>ą</w:t>
      </w:r>
      <w:r>
        <w:t>dem Rzeczpospolitej Polskiej a Rz</w:t>
      </w:r>
      <w:r>
        <w:t>ą</w:t>
      </w:r>
      <w:r>
        <w:t>dem Irlandii w sprawie unikania podw</w:t>
      </w:r>
      <w:r>
        <w:t>ó</w:t>
      </w:r>
      <w:r>
        <w:t>jnego opodatkowania i zapobiegania uchylaniu si</w:t>
      </w:r>
      <w:r>
        <w:t>ę</w:t>
      </w:r>
      <w:r>
        <w:t xml:space="preserve"> od opodatkowania w zakresie podatk</w:t>
      </w:r>
      <w:r>
        <w:t>ó</w:t>
      </w:r>
      <w:r>
        <w:t>w od dochodu - przez b</w:t>
      </w:r>
      <w:r>
        <w:t>łę</w:t>
      </w:r>
      <w:r>
        <w:t>dn</w:t>
      </w:r>
      <w:r>
        <w:t>ą</w:t>
      </w:r>
      <w:r>
        <w:t xml:space="preserve"> wyk</w:t>
      </w:r>
      <w:r>
        <w:t>ł</w:t>
      </w:r>
      <w:r>
        <w:t>adni</w:t>
      </w:r>
      <w:r>
        <w:t>ę</w:t>
      </w:r>
      <w:r>
        <w:t xml:space="preserve"> tego przepisu (art. 174 pkt 1 PostAdmU)</w:t>
      </w:r>
      <w:r>
        <w:t>.</w:t>
      </w:r>
    </w:p>
    <w:p w:rsidR="00000000" w:rsidRDefault="00BB0AD5">
      <w:pPr>
        <w:pStyle w:val="p"/>
      </w:pPr>
      <w:r>
        <w:t xml:space="preserve"> Uzasadniaj</w:t>
      </w:r>
      <w:r>
        <w:t>ą</w:t>
      </w:r>
      <w:r>
        <w:t xml:space="preserve">c wskazany zarzut, w skardze kasacyjnej podniesiono, </w:t>
      </w:r>
      <w:r>
        <w:t>ż</w:t>
      </w:r>
      <w:r>
        <w:t>e w pisemnych motywach wyroku nie wyja</w:t>
      </w:r>
      <w:r>
        <w:t>ś</w:t>
      </w:r>
      <w:r>
        <w:t>niono, dlaczego "niew</w:t>
      </w:r>
      <w:r>
        <w:t>ł</w:t>
      </w:r>
      <w:r>
        <w:t>a</w:t>
      </w:r>
      <w:r>
        <w:t>ś</w:t>
      </w:r>
      <w:r>
        <w:t>ciwe jest w niniejszej sprawie zastosowanie definicji zawartej w art. 2 ust. 1 Aktu Paryskiego do Konwencji Berne</w:t>
      </w:r>
      <w:r>
        <w:t>ń</w:t>
      </w:r>
      <w:r>
        <w:t xml:space="preserve">skiej" (s. </w:t>
      </w:r>
      <w:r>
        <w:t>6). My</w:t>
      </w:r>
      <w:r>
        <w:t>ś</w:t>
      </w:r>
      <w:r>
        <w:t>l t</w:t>
      </w:r>
      <w:r>
        <w:t>ę</w:t>
      </w:r>
      <w:r>
        <w:t xml:space="preserve"> uzupe</w:t>
      </w:r>
      <w:r>
        <w:t>ł</w:t>
      </w:r>
      <w:r>
        <w:t>niono spostrze</w:t>
      </w:r>
      <w:r>
        <w:t>ż</w:t>
      </w:r>
      <w:r>
        <w:t xml:space="preserve">eniem, </w:t>
      </w:r>
      <w:r>
        <w:t>ż</w:t>
      </w:r>
      <w:r>
        <w:t>e wprawdzie wspomniana konwencja nie wymienia program</w:t>
      </w:r>
      <w:r>
        <w:t>ó</w:t>
      </w:r>
      <w:r>
        <w:t>w komputerowych jako dzie</w:t>
      </w:r>
      <w:r>
        <w:t>ł</w:t>
      </w:r>
      <w:r>
        <w:t xml:space="preserve"> literackich, to jednak</w:t>
      </w:r>
      <w:r>
        <w:t>ż</w:t>
      </w:r>
      <w:r>
        <w:t>e, ilekro</w:t>
      </w:r>
      <w:r>
        <w:t>ć</w:t>
      </w:r>
      <w:r>
        <w:t xml:space="preserve"> jest w niej mowa o dzie</w:t>
      </w:r>
      <w:r>
        <w:t>ł</w:t>
      </w:r>
      <w:r>
        <w:t>ach literackich, rozumie si</w:t>
      </w:r>
      <w:r>
        <w:t>ę</w:t>
      </w:r>
      <w:r>
        <w:t xml:space="preserve"> przez to tak</w:t>
      </w:r>
      <w:r>
        <w:t>ż</w:t>
      </w:r>
      <w:r>
        <w:t>e programy komputerowe. Jak zauwa</w:t>
      </w:r>
      <w:r>
        <w:t>ż</w:t>
      </w:r>
      <w:r>
        <w:t>y</w:t>
      </w:r>
      <w:r>
        <w:t>ł</w:t>
      </w:r>
      <w:r>
        <w:t>a autorka skargi kasacyjnej, w przeciwnym przypadku "nie by</w:t>
      </w:r>
      <w:r>
        <w:t>ł</w:t>
      </w:r>
      <w:r>
        <w:t>oby mo</w:t>
      </w:r>
      <w:r>
        <w:t>ż</w:t>
      </w:r>
      <w:r>
        <w:t>liwe wype</w:t>
      </w:r>
      <w:r>
        <w:t>ł</w:t>
      </w:r>
      <w:r>
        <w:t>nienie normy art. 74 ust. 1 prawa autorskiego i przyznanie programom komputerowym ochrony wynikaj</w:t>
      </w:r>
      <w:r>
        <w:t>ą</w:t>
      </w:r>
      <w:r>
        <w:t>cej z Konwencji Berne</w:t>
      </w:r>
      <w:r>
        <w:t>ń</w:t>
      </w:r>
      <w:r>
        <w:t>skiej. Zgodnie bowiem z art. 74 ust. 1 prawa autorskiego,</w:t>
      </w:r>
      <w:r>
        <w:t xml:space="preserve"> programy komputerowe podlegaj</w:t>
      </w:r>
      <w:r>
        <w:t>ą</w:t>
      </w:r>
      <w:r>
        <w:t xml:space="preserve"> ochronie jak utwory literackie, o ile przepisy szczeg</w:t>
      </w:r>
      <w:r>
        <w:t>ó</w:t>
      </w:r>
      <w:r>
        <w:t>lne nie stanowi</w:t>
      </w:r>
      <w:r>
        <w:t>ą</w:t>
      </w:r>
      <w:r>
        <w:t xml:space="preserve"> inaczej" (s. 6 skargi kasacyjnej).</w:t>
      </w:r>
    </w:p>
    <w:p w:rsidR="00000000" w:rsidRDefault="00BB0AD5">
      <w:pPr>
        <w:pStyle w:val="p"/>
      </w:pPr>
      <w:r>
        <w:t xml:space="preserve"> Analiza tej cz</w:t>
      </w:r>
      <w:r>
        <w:t>ęś</w:t>
      </w:r>
      <w:r>
        <w:t>ci wywodu zaprezentowanego w skardze kasacyjnej ujawnia zasadnicz</w:t>
      </w:r>
      <w:r>
        <w:t>ą</w:t>
      </w:r>
      <w:r>
        <w:t xml:space="preserve"> sprzeczno</w:t>
      </w:r>
      <w:r>
        <w:t>ść</w:t>
      </w:r>
      <w:r>
        <w:t xml:space="preserve"> rozumowania maj</w:t>
      </w:r>
      <w:r>
        <w:t>ą</w:t>
      </w:r>
      <w:r>
        <w:t>cego w</w:t>
      </w:r>
      <w:r>
        <w:t>spiera</w:t>
      </w:r>
      <w:r>
        <w:t>ć</w:t>
      </w:r>
      <w:r>
        <w:t xml:space="preserve"> postawiony zarzut naruszenia prawa materialnego przez b</w:t>
      </w:r>
      <w:r>
        <w:t>łę</w:t>
      </w:r>
      <w:r>
        <w:t>dn</w:t>
      </w:r>
      <w:r>
        <w:t>ą</w:t>
      </w:r>
      <w:r>
        <w:t xml:space="preserve"> wyk</w:t>
      </w:r>
      <w:r>
        <w:t>ł</w:t>
      </w:r>
      <w:r>
        <w:t>adni</w:t>
      </w:r>
      <w:r>
        <w:t>ę</w:t>
      </w:r>
      <w:r>
        <w:t>, podwa</w:t>
      </w:r>
      <w:r>
        <w:t>ż</w:t>
      </w:r>
      <w:r>
        <w:t>aj</w:t>
      </w:r>
      <w:r>
        <w:t>ą</w:t>
      </w:r>
      <w:r>
        <w:t>c</w:t>
      </w:r>
      <w:r>
        <w:t>ą</w:t>
      </w:r>
      <w:r>
        <w:t xml:space="preserve"> jego zasadno</w:t>
      </w:r>
      <w:r>
        <w:t>ść</w:t>
      </w:r>
      <w:r>
        <w:t>. Z jednej strony autorka skargi kasacyjnej przyznaje, i</w:t>
      </w:r>
      <w:r>
        <w:t>ż</w:t>
      </w:r>
      <w:r>
        <w:t xml:space="preserve"> w </w:t>
      </w:r>
      <w:r>
        <w:t>ś</w:t>
      </w:r>
      <w:r>
        <w:t>wietle postanowie</w:t>
      </w:r>
      <w:r>
        <w:t>ń</w:t>
      </w:r>
      <w:r>
        <w:t xml:space="preserve"> Konwencji Berne</w:t>
      </w:r>
      <w:r>
        <w:t>ń</w:t>
      </w:r>
      <w:r>
        <w:t>skiej programy komputerowe s</w:t>
      </w:r>
      <w:r>
        <w:t>ą</w:t>
      </w:r>
      <w:r>
        <w:t xml:space="preserve"> dzie</w:t>
      </w:r>
      <w:r>
        <w:t>ł</w:t>
      </w:r>
      <w:r>
        <w:t>ami literackimi (wy</w:t>
      </w:r>
      <w:r>
        <w:t>ra</w:t>
      </w:r>
      <w:r>
        <w:t>ż</w:t>
      </w:r>
      <w:r>
        <w:t>ono to s</w:t>
      </w:r>
      <w:r>
        <w:t>ł</w:t>
      </w:r>
      <w:r>
        <w:t>owami: "... ilekro</w:t>
      </w:r>
      <w:r>
        <w:t>ć</w:t>
      </w:r>
      <w:r>
        <w:t xml:space="preserve"> jest w niej mowa o dzie</w:t>
      </w:r>
      <w:r>
        <w:t>ł</w:t>
      </w:r>
      <w:r>
        <w:t>ach literackich, rozumie si</w:t>
      </w:r>
      <w:r>
        <w:t>ę</w:t>
      </w:r>
      <w:r>
        <w:t xml:space="preserve"> przez to tak</w:t>
      </w:r>
      <w:r>
        <w:t>ż</w:t>
      </w:r>
      <w:r>
        <w:t>e programy komputerowe"). Z drugiej wszak</w:t>
      </w:r>
      <w:r>
        <w:t>ż</w:t>
      </w:r>
      <w:r>
        <w:t>e strony odwo</w:t>
      </w:r>
      <w:r>
        <w:t>ł</w:t>
      </w:r>
      <w:r>
        <w:t>uje si</w:t>
      </w:r>
      <w:r>
        <w:t>ę</w:t>
      </w:r>
      <w:r>
        <w:t xml:space="preserve"> ona do tego, i</w:t>
      </w:r>
      <w:r>
        <w:t>ż</w:t>
      </w:r>
      <w:r>
        <w:t xml:space="preserve"> art. 74 ust. 1 prawa autorskiego deklaruje ochron</w:t>
      </w:r>
      <w:r>
        <w:t>ę</w:t>
      </w:r>
      <w:r>
        <w:t xml:space="preserve"> dla program</w:t>
      </w:r>
      <w:r>
        <w:t>ó</w:t>
      </w:r>
      <w:r>
        <w:t>w komputerowych</w:t>
      </w:r>
      <w:r>
        <w:t xml:space="preserve"> tak</w:t>
      </w:r>
      <w:r>
        <w:t>ą</w:t>
      </w:r>
      <w:r>
        <w:t>, jakiej podlegaj</w:t>
      </w:r>
      <w:r>
        <w:t>ą</w:t>
      </w:r>
      <w:r>
        <w:t xml:space="preserve"> utwory literackie. Gdyby istotnie programy komputerowe by</w:t>
      </w:r>
      <w:r>
        <w:t>ł</w:t>
      </w:r>
      <w:r>
        <w:t>y dzie</w:t>
      </w:r>
      <w:r>
        <w:t>ł</w:t>
      </w:r>
      <w:r>
        <w:t>ami literackim, wprowadzenie normy o charakterze odsy</w:t>
      </w:r>
      <w:r>
        <w:t>ł</w:t>
      </w:r>
      <w:r>
        <w:t>aj</w:t>
      </w:r>
      <w:r>
        <w:t>ą</w:t>
      </w:r>
      <w:r>
        <w:t>cym ("podlegaj</w:t>
      </w:r>
      <w:r>
        <w:t>ą</w:t>
      </w:r>
      <w:r>
        <w:t xml:space="preserve"> ochronie jak utwory literackie") nie mia</w:t>
      </w:r>
      <w:r>
        <w:t>ł</w:t>
      </w:r>
      <w:r>
        <w:t>oby sensu, bowiem rozci</w:t>
      </w:r>
      <w:r>
        <w:t>ą</w:t>
      </w:r>
      <w:r>
        <w:t>gano by ochron</w:t>
      </w:r>
      <w:r>
        <w:t>ę</w:t>
      </w:r>
      <w:r>
        <w:t xml:space="preserve"> na przedmiot </w:t>
      </w:r>
      <w:r>
        <w:t>tej ochronie ju</w:t>
      </w:r>
      <w:r>
        <w:t>ż</w:t>
      </w:r>
      <w:r>
        <w:t xml:space="preserve"> poddany. Mo</w:t>
      </w:r>
      <w:r>
        <w:t>ż</w:t>
      </w:r>
      <w:r>
        <w:t>na zatem powiedzie</w:t>
      </w:r>
      <w:r>
        <w:t>ć</w:t>
      </w:r>
      <w:r>
        <w:t xml:space="preserve">, </w:t>
      </w:r>
      <w:r>
        <w:t>ż</w:t>
      </w:r>
      <w:r>
        <w:t>e wysuwaj</w:t>
      </w:r>
      <w:r>
        <w:t>ą</w:t>
      </w:r>
      <w:r>
        <w:t>c tego rodzaju argumentacj</w:t>
      </w:r>
      <w:r>
        <w:t>ę</w:t>
      </w:r>
      <w:r>
        <w:t>, autorka skargi kasacyjnej sama zaprzeczy</w:t>
      </w:r>
      <w:r>
        <w:t>ł</w:t>
      </w:r>
      <w:r>
        <w:t>a g</w:t>
      </w:r>
      <w:r>
        <w:t>ł</w:t>
      </w:r>
      <w:r>
        <w:t>oszonym przez siebie twierdzeniom.</w:t>
      </w:r>
    </w:p>
    <w:p w:rsidR="00000000" w:rsidRDefault="00BB0AD5">
      <w:pPr>
        <w:pStyle w:val="p"/>
      </w:pPr>
      <w:r>
        <w:t xml:space="preserve"> Niezale</w:t>
      </w:r>
      <w:r>
        <w:t>ż</w:t>
      </w:r>
      <w:r>
        <w:t>nie od tego, nale</w:t>
      </w:r>
      <w:r>
        <w:t>ż</w:t>
      </w:r>
      <w:r>
        <w:t>y podkre</w:t>
      </w:r>
      <w:r>
        <w:t>ś</w:t>
      </w:r>
      <w:r>
        <w:t>li</w:t>
      </w:r>
      <w:r>
        <w:t>ć</w:t>
      </w:r>
      <w:r>
        <w:t xml:space="preserve">, </w:t>
      </w:r>
      <w:r>
        <w:t>ż</w:t>
      </w:r>
      <w:r>
        <w:t>e zupe</w:t>
      </w:r>
      <w:r>
        <w:t>ł</w:t>
      </w:r>
      <w:r>
        <w:t>nie niezrozumia</w:t>
      </w:r>
      <w:r>
        <w:t>ł</w:t>
      </w:r>
      <w:r>
        <w:t>y jest zarzut braku w</w:t>
      </w:r>
      <w:r>
        <w:t>yja</w:t>
      </w:r>
      <w:r>
        <w:t>ś</w:t>
      </w:r>
      <w:r>
        <w:t>nienia przez s</w:t>
      </w:r>
      <w:r>
        <w:t>ą</w:t>
      </w:r>
      <w:r>
        <w:t>d administracyjny pierwszej instancji dlaczego niew</w:t>
      </w:r>
      <w:r>
        <w:t>ł</w:t>
      </w:r>
      <w:r>
        <w:t>a</w:t>
      </w:r>
      <w:r>
        <w:t>ś</w:t>
      </w:r>
      <w:r>
        <w:t>ciwe jest zastosowanie do rozpatrywanego przypadku definicji zamieszczonej w art. 2 ust. 1 Aktu Paryskiego do Konwencji Berne</w:t>
      </w:r>
      <w:r>
        <w:t>ń</w:t>
      </w:r>
      <w:r>
        <w:t xml:space="preserve">skiej. Rzecz w tym, </w:t>
      </w:r>
      <w:r>
        <w:t>ż</w:t>
      </w:r>
      <w:r>
        <w:t>e w powo</w:t>
      </w:r>
      <w:r>
        <w:t>ł</w:t>
      </w:r>
      <w:r>
        <w:t xml:space="preserve">anym postanowieniu operuje </w:t>
      </w:r>
      <w:r>
        <w:t>si</w:t>
      </w:r>
      <w:r>
        <w:t>ę</w:t>
      </w:r>
      <w:r>
        <w:t xml:space="preserve"> poj</w:t>
      </w:r>
      <w:r>
        <w:t>ę</w:t>
      </w:r>
      <w:r>
        <w:t>ciem dzie</w:t>
      </w:r>
      <w:r>
        <w:t>ł</w:t>
      </w:r>
      <w:r>
        <w:t>a uzupe</w:t>
      </w:r>
      <w:r>
        <w:t>ł</w:t>
      </w:r>
      <w:r>
        <w:t>nionego odpowiednim okre</w:t>
      </w:r>
      <w:r>
        <w:t>ś</w:t>
      </w:r>
      <w:r>
        <w:t>leniem przymiotnikowym (dzie</w:t>
      </w:r>
      <w:r>
        <w:t>ł</w:t>
      </w:r>
      <w:r>
        <w:t>a literackie, naukowe, artystyczne, dzie</w:t>
      </w:r>
      <w:r>
        <w:t>ł</w:t>
      </w:r>
      <w:r>
        <w:t>a dramatyczne lub dramatyczno-muzyczne, dzie</w:t>
      </w:r>
      <w:r>
        <w:t>ł</w:t>
      </w:r>
      <w:r>
        <w:t>a choreograficzne, dzie</w:t>
      </w:r>
      <w:r>
        <w:t>ł</w:t>
      </w:r>
      <w:r>
        <w:t>a muzyczne ze s</w:t>
      </w:r>
      <w:r>
        <w:t>ł</w:t>
      </w:r>
      <w:r>
        <w:t>owami lub bez s</w:t>
      </w:r>
      <w:r>
        <w:t>łó</w:t>
      </w:r>
      <w:r>
        <w:t>w, dzie</w:t>
      </w:r>
      <w:r>
        <w:t>ł</w:t>
      </w:r>
      <w:r>
        <w:t>a rysownicze, dzie</w:t>
      </w:r>
      <w:r>
        <w:t>ł</w:t>
      </w:r>
      <w:r>
        <w:t>a foto</w:t>
      </w:r>
      <w:r>
        <w:t>graficzne lub zr</w:t>
      </w:r>
      <w:r>
        <w:t>ó</w:t>
      </w:r>
      <w:r>
        <w:t>wnane z nimi dzie</w:t>
      </w:r>
      <w:r>
        <w:t>ł</w:t>
      </w:r>
      <w:r>
        <w:t>a wyra</w:t>
      </w:r>
      <w:r>
        <w:t>ż</w:t>
      </w:r>
      <w:r>
        <w:t>one w podobny spos</w:t>
      </w:r>
      <w:r>
        <w:t>ó</w:t>
      </w:r>
      <w:r>
        <w:t>b jak fotografia, dzie</w:t>
      </w:r>
      <w:r>
        <w:t>ł</w:t>
      </w:r>
      <w:r>
        <w:t>a sztuki u</w:t>
      </w:r>
      <w:r>
        <w:t>ż</w:t>
      </w:r>
      <w:r>
        <w:t>ytkowej, itp.). Powstaje pytanie - w jakim celu i w jaki spos</w:t>
      </w:r>
      <w:r>
        <w:t>ó</w:t>
      </w:r>
      <w:r>
        <w:t>b s</w:t>
      </w:r>
      <w:r>
        <w:t>ą</w:t>
      </w:r>
      <w:r>
        <w:t>d administracyjny pierwszej instancji mia</w:t>
      </w:r>
      <w:r>
        <w:t>ł</w:t>
      </w:r>
      <w:r>
        <w:t>by wykazywa</w:t>
      </w:r>
      <w:r>
        <w:t>ć</w:t>
      </w:r>
      <w:r>
        <w:t xml:space="preserve">, </w:t>
      </w:r>
      <w:r>
        <w:t>ż</w:t>
      </w:r>
      <w:r>
        <w:t>e oprogramowanie mie</w:t>
      </w:r>
      <w:r>
        <w:t>ś</w:t>
      </w:r>
      <w:r>
        <w:t>ci si</w:t>
      </w:r>
      <w:r>
        <w:t>ę</w:t>
      </w:r>
      <w:r>
        <w:t xml:space="preserve"> w tak zakr</w:t>
      </w:r>
      <w:r>
        <w:t>e</w:t>
      </w:r>
      <w:r>
        <w:t>ś</w:t>
      </w:r>
      <w:r>
        <w:t>lonej, skonstruowanej przy pomocy wyra</w:t>
      </w:r>
      <w:r>
        <w:t>ź</w:t>
      </w:r>
      <w:r>
        <w:t>nie sprecyzowanego kwalifikatora (poj</w:t>
      </w:r>
      <w:r>
        <w:t>ę</w:t>
      </w:r>
      <w:r>
        <w:t>cie dzie</w:t>
      </w:r>
      <w:r>
        <w:t>ł</w:t>
      </w:r>
      <w:r>
        <w:t>a), definicji? W tym wzgl</w:t>
      </w:r>
      <w:r>
        <w:t>ę</w:t>
      </w:r>
      <w:r>
        <w:t>dzie S</w:t>
      </w:r>
      <w:r>
        <w:t>ą</w:t>
      </w:r>
      <w:r>
        <w:t>d wyczerpuj</w:t>
      </w:r>
      <w:r>
        <w:t>ą</w:t>
      </w:r>
      <w:r>
        <w:t>co wypowiedzia</w:t>
      </w:r>
      <w:r>
        <w:t>ł</w:t>
      </w:r>
      <w:r>
        <w:t xml:space="preserve"> si</w:t>
      </w:r>
      <w:r>
        <w:t>ę</w:t>
      </w:r>
      <w:r>
        <w:t xml:space="preserve"> przytaczaj</w:t>
      </w:r>
      <w:r>
        <w:t>ą</w:t>
      </w:r>
      <w:r>
        <w:t>c art. 1 ust. 2 prawa autorskiego, dochodz</w:t>
      </w:r>
      <w:r>
        <w:t>ą</w:t>
      </w:r>
      <w:r>
        <w:t>c do trafnego wniosku, i</w:t>
      </w:r>
      <w:r>
        <w:t>ż</w:t>
      </w:r>
      <w:r>
        <w:t xml:space="preserve"> programy komputerowe s</w:t>
      </w:r>
      <w:r>
        <w:t>ą</w:t>
      </w:r>
      <w:r>
        <w:t xml:space="preserve"> samodzielnym przedmiotem ochrony praw autorskich (s. 7 uzasadnienia zaskar</w:t>
      </w:r>
      <w:r>
        <w:t>ż</w:t>
      </w:r>
      <w:r>
        <w:t>onego wyroku). Nie omieszka</w:t>
      </w:r>
      <w:r>
        <w:t>ł</w:t>
      </w:r>
      <w:r>
        <w:t xml:space="preserve"> on r</w:t>
      </w:r>
      <w:r>
        <w:t>ó</w:t>
      </w:r>
      <w:r>
        <w:t>wnie</w:t>
      </w:r>
      <w:r>
        <w:t>ż</w:t>
      </w:r>
      <w:r>
        <w:t xml:space="preserve"> zauwa</w:t>
      </w:r>
      <w:r>
        <w:t>ż</w:t>
      </w:r>
      <w:r>
        <w:t>y</w:t>
      </w:r>
      <w:r>
        <w:t>ć</w:t>
      </w:r>
      <w:r>
        <w:t xml:space="preserve">, </w:t>
      </w:r>
      <w:r>
        <w:t>ż</w:t>
      </w:r>
      <w:r>
        <w:t>e tez</w:t>
      </w:r>
      <w:r>
        <w:t>ę</w:t>
      </w:r>
      <w:r>
        <w:t xml:space="preserve"> t</w:t>
      </w:r>
      <w:r>
        <w:t>ę</w:t>
      </w:r>
      <w:r>
        <w:t xml:space="preserve"> wzmacnia analiza tre</w:t>
      </w:r>
      <w:r>
        <w:t>ś</w:t>
      </w:r>
      <w:r>
        <w:t>ci art. 74 ust. 1 wymienionej ustawy, kt</w:t>
      </w:r>
      <w:r>
        <w:t>ó</w:t>
      </w:r>
      <w:r>
        <w:t>ry przewidzia</w:t>
      </w:r>
      <w:r>
        <w:t>ł</w:t>
      </w:r>
      <w:r>
        <w:t xml:space="preserve"> ochron</w:t>
      </w:r>
      <w:r>
        <w:t>ę</w:t>
      </w:r>
      <w:r>
        <w:t xml:space="preserve"> tak</w:t>
      </w:r>
      <w:r>
        <w:t>ą</w:t>
      </w:r>
      <w:r>
        <w:t xml:space="preserve"> jak dla utwor</w:t>
      </w:r>
      <w:r>
        <w:t>ó</w:t>
      </w:r>
      <w:r>
        <w:t>w literackich z</w:t>
      </w:r>
      <w:r>
        <w:t xml:space="preserve"> ustawowo przewidzianymi wyj</w:t>
      </w:r>
      <w:r>
        <w:t>ą</w:t>
      </w:r>
      <w:r>
        <w:t>tkami. Je</w:t>
      </w:r>
      <w:r>
        <w:t>ś</w:t>
      </w:r>
      <w:r>
        <w:t>li co</w:t>
      </w:r>
      <w:r>
        <w:t>ś</w:t>
      </w:r>
      <w:r>
        <w:t xml:space="preserve"> jest "takie jak", to wbrew temu, co stwierdzono w skardze kasacyjnej, nie mo</w:t>
      </w:r>
      <w:r>
        <w:t>ż</w:t>
      </w:r>
      <w:r>
        <w:t>e by</w:t>
      </w:r>
      <w:r>
        <w:t>ć</w:t>
      </w:r>
      <w:r>
        <w:t xml:space="preserve"> uznane za "to co</w:t>
      </w:r>
      <w:r>
        <w:t>ś</w:t>
      </w:r>
      <w:r>
        <w:t>". Przyj</w:t>
      </w:r>
      <w:r>
        <w:t>ę</w:t>
      </w:r>
      <w:r>
        <w:t>cie odmiennego pogl</w:t>
      </w:r>
      <w:r>
        <w:t>ą</w:t>
      </w:r>
      <w:r>
        <w:t>du podwa</w:t>
      </w:r>
      <w:r>
        <w:t>ż</w:t>
      </w:r>
      <w:r>
        <w:t>a</w:t>
      </w:r>
      <w:r>
        <w:t>ł</w:t>
      </w:r>
      <w:r>
        <w:t>oby elementarne za</w:t>
      </w:r>
      <w:r>
        <w:t>ł</w:t>
      </w:r>
      <w:r>
        <w:t>o</w:t>
      </w:r>
      <w:r>
        <w:t>ż</w:t>
      </w:r>
      <w:r>
        <w:t>enia logiki formalnej, kt</w:t>
      </w:r>
      <w:r>
        <w:t>ó</w:t>
      </w:r>
      <w:r>
        <w:t>rej ustalenia nie s</w:t>
      </w:r>
      <w:r>
        <w:t>ą</w:t>
      </w:r>
      <w:r>
        <w:t xml:space="preserve"> pr</w:t>
      </w:r>
      <w:r>
        <w:t>zecie</w:t>
      </w:r>
      <w:r>
        <w:t>ż</w:t>
      </w:r>
      <w:r>
        <w:t xml:space="preserve"> oboj</w:t>
      </w:r>
      <w:r>
        <w:t>ę</w:t>
      </w:r>
      <w:r>
        <w:t>tne dla proces</w:t>
      </w:r>
      <w:r>
        <w:t>ó</w:t>
      </w:r>
      <w:r>
        <w:t>w wyk</w:t>
      </w:r>
      <w:r>
        <w:t>ł</w:t>
      </w:r>
      <w:r>
        <w:t>adni prawa. Z uwag</w:t>
      </w:r>
      <w:r>
        <w:t>ą</w:t>
      </w:r>
      <w:r>
        <w:t xml:space="preserve"> t</w:t>
      </w:r>
      <w:r>
        <w:t>ą</w:t>
      </w:r>
      <w:r>
        <w:t xml:space="preserve"> koresponduje stwierdzenie Wojew</w:t>
      </w:r>
      <w:r>
        <w:t>ó</w:t>
      </w:r>
      <w:r>
        <w:t>dzkiego S</w:t>
      </w:r>
      <w:r>
        <w:t>ą</w:t>
      </w:r>
      <w:r>
        <w:t>du Administracyjnego w Warszawie, i</w:t>
      </w:r>
      <w:r>
        <w:t>ż</w:t>
      </w:r>
      <w:r>
        <w:t xml:space="preserve"> przywo</w:t>
      </w:r>
      <w:r>
        <w:t>ł</w:t>
      </w:r>
      <w:r>
        <w:t>ane przez Ministra Finans</w:t>
      </w:r>
      <w:r>
        <w:t>ó</w:t>
      </w:r>
      <w:r>
        <w:t>w postanowienia konwencyjne i traktatowe maj</w:t>
      </w:r>
      <w:r>
        <w:t>ą</w:t>
      </w:r>
      <w:r>
        <w:t xml:space="preserve"> zapewni</w:t>
      </w:r>
      <w:r>
        <w:t>ć</w:t>
      </w:r>
      <w:r>
        <w:t xml:space="preserve"> programom komputerowym ochron</w:t>
      </w:r>
      <w:r>
        <w:t>ę</w:t>
      </w:r>
      <w:r>
        <w:t xml:space="preserve"> "w</w:t>
      </w:r>
      <w:r>
        <w:t xml:space="preserve"> zakresie podobnym jak dla dzie</w:t>
      </w:r>
      <w:r>
        <w:t>ł</w:t>
      </w:r>
      <w:r>
        <w:t xml:space="preserve"> literackich, artystycznych czy naukowych. Nie oznacza to jednak</w:t>
      </w:r>
      <w:r>
        <w:t>ż</w:t>
      </w:r>
      <w:r>
        <w:t xml:space="preserve">e, </w:t>
      </w:r>
      <w:r>
        <w:t>ż</w:t>
      </w:r>
      <w:r>
        <w:t>e s</w:t>
      </w:r>
      <w:r>
        <w:t>ą</w:t>
      </w:r>
      <w:r>
        <w:t xml:space="preserve"> one tymi prawami" (s. 9 uzasadnienia wyroku). W przekonaniu Naczelnego S</w:t>
      </w:r>
      <w:r>
        <w:t>ą</w:t>
      </w:r>
      <w:r>
        <w:t>du Administracyjnego, konstatacja zawarta w pisemnych motywach s</w:t>
      </w:r>
      <w:r>
        <w:t>ą</w:t>
      </w:r>
      <w:r>
        <w:t>du administr</w:t>
      </w:r>
      <w:r>
        <w:t>acyjnego pierwszej instancji dotycz</w:t>
      </w:r>
      <w:r>
        <w:t>ą</w:t>
      </w:r>
      <w:r>
        <w:t>ca odr</w:t>
      </w:r>
      <w:r>
        <w:t>ę</w:t>
      </w:r>
      <w:r>
        <w:t>bno</w:t>
      </w:r>
      <w:r>
        <w:t>ś</w:t>
      </w:r>
      <w:r>
        <w:t>ci przedmiotu ochrony ca</w:t>
      </w:r>
      <w:r>
        <w:t>ł</w:t>
      </w:r>
      <w:r>
        <w:t>kowicie wyja</w:t>
      </w:r>
      <w:r>
        <w:t>ś</w:t>
      </w:r>
      <w:r>
        <w:t>nia jego stanowisko, nie pozostawiaj</w:t>
      </w:r>
      <w:r>
        <w:t>ą</w:t>
      </w:r>
      <w:r>
        <w:t>c najmniejszej w</w:t>
      </w:r>
      <w:r>
        <w:t>ą</w:t>
      </w:r>
      <w:r>
        <w:t>tpliwo</w:t>
      </w:r>
      <w:r>
        <w:t>ś</w:t>
      </w:r>
      <w:r>
        <w:t>ci co do prawid</w:t>
      </w:r>
      <w:r>
        <w:t>ł</w:t>
      </w:r>
      <w:r>
        <w:t>owo</w:t>
      </w:r>
      <w:r>
        <w:t>ś</w:t>
      </w:r>
      <w:r>
        <w:t>ci dokonanej oceny prawnej.</w:t>
      </w:r>
    </w:p>
    <w:p w:rsidR="00000000" w:rsidRDefault="00BB0AD5">
      <w:pPr>
        <w:pStyle w:val="p"/>
      </w:pPr>
      <w:r>
        <w:t xml:space="preserve"> Przedstawione rozwa</w:t>
      </w:r>
      <w:r>
        <w:t>ż</w:t>
      </w:r>
      <w:r>
        <w:t>ania prowadz</w:t>
      </w:r>
      <w:r>
        <w:t>ą</w:t>
      </w:r>
      <w:r>
        <w:t xml:space="preserve"> do konkluzji, </w:t>
      </w:r>
      <w:r>
        <w:t>ż</w:t>
      </w:r>
      <w:r>
        <w:t>e zarzut nar</w:t>
      </w:r>
      <w:r>
        <w:t>uszenia art. 12 ust. 3 lit. a) umowy polsko-irlandzkiej przez jego b</w:t>
      </w:r>
      <w:r>
        <w:t>łę</w:t>
      </w:r>
      <w:r>
        <w:t>dn</w:t>
      </w:r>
      <w:r>
        <w:t>ą</w:t>
      </w:r>
      <w:r>
        <w:t xml:space="preserve"> wyk</w:t>
      </w:r>
      <w:r>
        <w:t>ł</w:t>
      </w:r>
      <w:r>
        <w:t>adni</w:t>
      </w:r>
      <w:r>
        <w:t>ę</w:t>
      </w:r>
      <w:r>
        <w:t xml:space="preserve"> nie ma usprawiedliwionych podstaw. Skoro - co w spos</w:t>
      </w:r>
      <w:r>
        <w:t>ó</w:t>
      </w:r>
      <w:r>
        <w:t>b bezsporny wykaza</w:t>
      </w:r>
      <w:r>
        <w:t>ł</w:t>
      </w:r>
      <w:r>
        <w:t xml:space="preserve"> Wojew</w:t>
      </w:r>
      <w:r>
        <w:t>ó</w:t>
      </w:r>
      <w:r>
        <w:t>dzki S</w:t>
      </w:r>
      <w:r>
        <w:t>ą</w:t>
      </w:r>
      <w:r>
        <w:t>d Administracyjny w Warszawie - program komputerowy nie stanowi dzie</w:t>
      </w:r>
      <w:r>
        <w:t>ł</w:t>
      </w:r>
      <w:r>
        <w:t>a literackiego, n</w:t>
      </w:r>
      <w:r>
        <w:t>aukowego lub artystycznego w rozumieniu polskich uregulowa</w:t>
      </w:r>
      <w:r>
        <w:t>ń</w:t>
      </w:r>
      <w:r>
        <w:t xml:space="preserve"> prawnych odnosz</w:t>
      </w:r>
      <w:r>
        <w:t>ą</w:t>
      </w:r>
      <w:r>
        <w:t>cych si</w:t>
      </w:r>
      <w:r>
        <w:t>ę</w:t>
      </w:r>
      <w:r>
        <w:t xml:space="preserve"> do prawa autorskiego, interpretowanych nawet z uwzgl</w:t>
      </w:r>
      <w:r>
        <w:t>ę</w:t>
      </w:r>
      <w:r>
        <w:t>dnieniem postanowie</w:t>
      </w:r>
      <w:r>
        <w:t>ń</w:t>
      </w:r>
      <w:r>
        <w:t xml:space="preserve"> o charakterze konwencyjnym, brak by</w:t>
      </w:r>
      <w:r>
        <w:t>ł</w:t>
      </w:r>
      <w:r>
        <w:t>o podstaw do kwalifikowania nale</w:t>
      </w:r>
      <w:r>
        <w:t>ż</w:t>
      </w:r>
      <w:r>
        <w:t>no</w:t>
      </w:r>
      <w:r>
        <w:t>ś</w:t>
      </w:r>
      <w:r>
        <w:t>ci wyp</w:t>
      </w:r>
      <w:r>
        <w:t>ł</w:t>
      </w:r>
      <w:r>
        <w:t>acanych z tytu</w:t>
      </w:r>
      <w:r>
        <w:t>ł</w:t>
      </w:r>
      <w:r>
        <w:t>u z</w:t>
      </w:r>
      <w:r>
        <w:t>akupu praw do korzystania ze stosownych oprogramowa</w:t>
      </w:r>
      <w:r>
        <w:t>ń</w:t>
      </w:r>
      <w:r>
        <w:t xml:space="preserve"> do kategorii nale</w:t>
      </w:r>
      <w:r>
        <w:t>ż</w:t>
      </w:r>
      <w:r>
        <w:t>no</w:t>
      </w:r>
      <w:r>
        <w:t>ś</w:t>
      </w:r>
      <w:r>
        <w:t>ci licencyjnych w rozumieniu art. 12 ust. 3 lit. a) wskazanej umowy mi</w:t>
      </w:r>
      <w:r>
        <w:t>ę</w:t>
      </w:r>
      <w:r>
        <w:t>dzynarodowej. Naczelny S</w:t>
      </w:r>
      <w:r>
        <w:t>ą</w:t>
      </w:r>
      <w:r>
        <w:t>d Administracyjny podziela przy tym w ca</w:t>
      </w:r>
      <w:r>
        <w:t>ł</w:t>
      </w:r>
      <w:r>
        <w:t>ej rozci</w:t>
      </w:r>
      <w:r>
        <w:t>ą</w:t>
      </w:r>
      <w:r>
        <w:t>g</w:t>
      </w:r>
      <w:r>
        <w:t>ł</w:t>
      </w:r>
      <w:r>
        <w:t>o</w:t>
      </w:r>
      <w:r>
        <w:t>ś</w:t>
      </w:r>
      <w:r>
        <w:t>ci tez</w:t>
      </w:r>
      <w:r>
        <w:t>ę</w:t>
      </w:r>
      <w:r>
        <w:t xml:space="preserve">, </w:t>
      </w:r>
      <w:r>
        <w:t>ż</w:t>
      </w:r>
      <w:r>
        <w:t>e inna interpretacja t</w:t>
      </w:r>
      <w:r>
        <w:t>ego postanowienia by</w:t>
      </w:r>
      <w:r>
        <w:t>ł</w:t>
      </w:r>
      <w:r>
        <w:t>aby "nieuzasadnionym stosowaniem wyk</w:t>
      </w:r>
      <w:r>
        <w:t>ł</w:t>
      </w:r>
      <w:r>
        <w:t>adni rozszerzaj</w:t>
      </w:r>
      <w:r>
        <w:t>ą</w:t>
      </w:r>
      <w:r>
        <w:t>cej, niedopuszczalnej w prawie podatkowym" (s. 7 uzasadnienia zaskar</w:t>
      </w:r>
      <w:r>
        <w:t>ż</w:t>
      </w:r>
      <w:r>
        <w:t>onego wyroku). Dodatkowo, wypada zaznaczy</w:t>
      </w:r>
      <w:r>
        <w:t>ć</w:t>
      </w:r>
      <w:r>
        <w:t xml:space="preserve">, </w:t>
      </w:r>
      <w:r>
        <w:t>ż</w:t>
      </w:r>
      <w:r>
        <w:t>e mo</w:t>
      </w:r>
      <w:r>
        <w:t>ż</w:t>
      </w:r>
      <w:r>
        <w:t>na wskaza</w:t>
      </w:r>
      <w:r>
        <w:t>ć</w:t>
      </w:r>
      <w:r>
        <w:t xml:space="preserve"> takie </w:t>
      </w:r>
      <w:r>
        <w:lastRenderedPageBreak/>
        <w:t>umowy mi</w:t>
      </w:r>
      <w:r>
        <w:t>ę</w:t>
      </w:r>
      <w:r>
        <w:t>dzynarodowe w przedmiocie unikania po</w:t>
      </w:r>
      <w:r>
        <w:t>dw</w:t>
      </w:r>
      <w:r>
        <w:t>ó</w:t>
      </w:r>
      <w:r>
        <w:t>jnego opodatkowania, w kt</w:t>
      </w:r>
      <w:r>
        <w:t>ó</w:t>
      </w:r>
      <w:r>
        <w:t>rych wprost okre</w:t>
      </w:r>
      <w:r>
        <w:t>ś</w:t>
      </w:r>
      <w:r>
        <w:t>lono nale</w:t>
      </w:r>
      <w:r>
        <w:t>ż</w:t>
      </w:r>
      <w:r>
        <w:t>no</w:t>
      </w:r>
      <w:r>
        <w:t>ś</w:t>
      </w:r>
      <w:r>
        <w:t>ci uzyskiwane z tytu</w:t>
      </w:r>
      <w:r>
        <w:t>ł</w:t>
      </w:r>
      <w:r>
        <w:t>u korzystania z praw do u</w:t>
      </w:r>
      <w:r>
        <w:t>ż</w:t>
      </w:r>
      <w:r>
        <w:t>ytkowania program</w:t>
      </w:r>
      <w:r>
        <w:t>ó</w:t>
      </w:r>
      <w:r>
        <w:t>w komputerowych jako rodzaj nale</w:t>
      </w:r>
      <w:r>
        <w:t>ż</w:t>
      </w:r>
      <w:r>
        <w:t>no</w:t>
      </w:r>
      <w:r>
        <w:t>ś</w:t>
      </w:r>
      <w:r>
        <w:t>ci licencyjnych (tak chocia</w:t>
      </w:r>
      <w:r>
        <w:t>ż</w:t>
      </w:r>
      <w:r>
        <w:t>by w przypadku um</w:t>
      </w:r>
      <w:r>
        <w:t>ó</w:t>
      </w:r>
      <w:r>
        <w:t>w pomi</w:t>
      </w:r>
      <w:r>
        <w:t>ę</w:t>
      </w:r>
      <w:r>
        <w:t>dzy RP, a Republikami P. i K.). Brak tej tr</w:t>
      </w:r>
      <w:r>
        <w:t>e</w:t>
      </w:r>
      <w:r>
        <w:t>ś</w:t>
      </w:r>
      <w:r>
        <w:t>ci unormowania w umowie polsko-irlandzkiej nie mo</w:t>
      </w:r>
      <w:r>
        <w:t>ż</w:t>
      </w:r>
      <w:r>
        <w:t>e pozosta</w:t>
      </w:r>
      <w:r>
        <w:t>ć</w:t>
      </w:r>
      <w:r>
        <w:t xml:space="preserve"> bez wp</w:t>
      </w:r>
      <w:r>
        <w:t>ł</w:t>
      </w:r>
      <w:r>
        <w:t>ywu na wynik przeprowadzonej kontroli zgodno</w:t>
      </w:r>
      <w:r>
        <w:t>ś</w:t>
      </w:r>
      <w:r>
        <w:t>ci z prawem wydanej przez Ministra Finans</w:t>
      </w:r>
      <w:r>
        <w:t>ó</w:t>
      </w:r>
      <w:r>
        <w:t>w decyzji w przedmiocie interpretacji, a tym samym - wynik post</w:t>
      </w:r>
      <w:r>
        <w:t>ę</w:t>
      </w:r>
      <w:r>
        <w:t>powania kasacyjnego przed Naczelnym</w:t>
      </w:r>
      <w:r>
        <w:t xml:space="preserve"> S</w:t>
      </w:r>
      <w:r>
        <w:t>ą</w:t>
      </w:r>
      <w:r>
        <w:t>dem Administracyjnym</w:t>
      </w:r>
    </w:p>
    <w:p w:rsidR="00000000" w:rsidRDefault="00BB0AD5">
      <w:pPr>
        <w:pStyle w:val="p"/>
      </w:pPr>
      <w:r>
        <w:t xml:space="preserve"> W tym stanie rzeczy, na mocy art. 184 PostAdmU orzeczono jak w sentencji. </w:t>
      </w:r>
    </w:p>
    <w:p w:rsidR="00000000" w:rsidRDefault="00BB0AD5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B0AD5" w:rsidRDefault="00BB0AD5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B0AD5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D5" w:rsidRDefault="00BB0AD5">
      <w:pPr>
        <w:spacing w:line="240" w:lineRule="auto"/>
      </w:pPr>
      <w:r>
        <w:separator/>
      </w:r>
    </w:p>
  </w:endnote>
  <w:endnote w:type="continuationSeparator" w:id="0">
    <w:p w:rsidR="00BB0AD5" w:rsidRDefault="00BB0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0AD5">
    <w:pPr>
      <w:spacing w:line="320" w:lineRule="atLeast"/>
      <w:jc w:val="left"/>
    </w:pPr>
    <w:r>
      <w:t>beakuc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D5" w:rsidRDefault="00BB0AD5">
      <w:pPr>
        <w:spacing w:line="240" w:lineRule="auto"/>
      </w:pPr>
      <w:r>
        <w:separator/>
      </w:r>
    </w:p>
  </w:footnote>
  <w:footnote w:type="continuationSeparator" w:id="0">
    <w:p w:rsidR="00BB0AD5" w:rsidRDefault="00BB0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FA6A8"/>
    <w:multiLevelType w:val="hybridMultilevel"/>
    <w:tmpl w:val="2B1133B6"/>
    <w:lvl w:ilvl="0" w:tplc="73DD514C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2171CEE8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4D9DBD89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0C3C021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01A2FA28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4EE75F10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56364998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1F293C90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0D4FA0BD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4B3"/>
    <w:rsid w:val="00BB0AD5"/>
    <w:rsid w:val="00DE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syspart">
    <w:name w:val="div.syspart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proms">
    <w:name w:val="h3.proms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czasoplinks">
    <w:name w:val=".czasoplinks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odstawaprawna">
    <w:name w:val=".podstawapraw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equation">
    <w:name w:val="div.equatio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rok">
    <w:name w:val=".krok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linkzalacznik">
    <w:name w:val="a.linkzalaczni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4"/>
      <w:szCs w:val="14"/>
    </w:rPr>
  </w:style>
  <w:style w:type="paragraph" w:customStyle="1" w:styleId="divnumery-box">
    <w:name w:val="div.numery-box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ommcont">
    <w:name w:val=".commcont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linkzalacznik">
    <w:name w:val="p.linkzalacznik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left">
    <w:name w:val="h2.srodpodtytulleft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ibshort">
    <w:name w:val=".bibshort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header1">
    <w:name w:val="td.metcellheader1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versions-list-document-title">
    <w:name w:val="td.versions-list-document-titl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okbannerimg">
    <w:name w:val=".bookbannerimg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ad">
    <w:name w:val=".lead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zmtable">
    <w:name w:val=".zm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ozdobnyspis">
    <w:name w:val=".ozdobnyspi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3modul">
    <w:name w:val="h3.modul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systemspacer">
    <w:name w:val="div.systemspacer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">
    <w:name w:val="table.mai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czarna">
    <w:name w:val=".ramkaczarn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dulmain">
    <w:name w:val="table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octitlenolink">
    <w:name w:val="p.toctitlenolink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hAnsi="Helvetica" w:cs="Helvetica"/>
      <w:b/>
      <w:bCs/>
      <w:color w:val="000000"/>
    </w:rPr>
  </w:style>
  <w:style w:type="paragraph" w:customStyle="1" w:styleId="booktitlefrontpage">
    <w:name w:val=".booktitlefrontpag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hAnsi="Helvetica" w:cs="Helvetica"/>
      <w:color w:val="000000"/>
      <w:sz w:val="26"/>
      <w:szCs w:val="26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infoakt">
    <w:name w:val="table.infoa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lebeckstartprawomiejscowe">
    <w:name w:val="table.beckstartprawomiejscow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doclink">
    <w:name w:val=".temp_doc_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eckstartboxinforreplace">
    <w:name w:val=".beckstartboxinforreplac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tdstart">
    <w:name w:val="td.star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divceneteredimage">
    <w:name w:val="div.ceneteredimag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4proms">
    <w:name w:val="h4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666666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artcont">
    <w:name w:val="div.artcont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strona">
    <w:name w:val="span.str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ivabstract">
    <w:name w:val="div.abstract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msonormaltable0">
    <w:name w:val=".msonormal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bookpunkt">
    <w:name w:val="div.bookpun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rok">
    <w:name w:val="h1.frontpage_rok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dmetrictitle">
    <w:name w:val="td.metric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resc">
    <w:name w:val=".bibtres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zdobnyspisnotfirst">
    <w:name w:val=".ozdobnyspisnotfirs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rzmtablerowinner">
    <w:name w:val="tr.zmtablerowinner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">
    <w:name w:val=".nrbrzeg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ramkaprzyklad">
    <w:name w:val=".ramkaprzyklad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paplabel">
    <w:name w:val=".temp_pap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data">
    <w:name w:val="p.frontpage_data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tytsystem">
    <w:name w:val="p.tytsystem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odul">
    <w:name w:val="a.modul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1">
    <w:name w:val=".kompunkt1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autor">
    <w:name w:val="h3.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tart">
    <w:name w:val="p.star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kompunktpunkt">
    <w:name w:val=".kompunktpunkt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xtline">
    <w:name w:val=".nextlin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header">
    <w:name w:val="td.metcellheader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">
    <w:name w:val="td.metcell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">
    <w:name w:val="td.modul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aktcell">
    <w:name w:val="td.akt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panel">
    <w:name w:val="table.startpan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tytulredakcji">
    <w:name w:val=".orz_tytul_redakcji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laszczorient">
    <w:name w:val="div.plaszcz_orient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">
    <w:name w:val="p.srodtyt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panpagebreak">
    <w:name w:val="span.pagebrea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1">
    <w:name w:val="td.zmpubinner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mainpub">
    <w:name w:val="p.mainpub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inner">
    <w:name w:val=".tabinner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ius">
    <w:name w:val="h1.frontpage_autor_ius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dzmpubinner3">
    <w:name w:val="td.zmpubinner3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2">
    <w:name w:val="td.zmpubinner2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podtytul">
    <w:name w:val=".orz_podtytul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main">
    <w:name w:val="td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formolarz">
    <w:name w:val=".beckformolarz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bftyt">
    <w:name w:val=".nobf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5">
    <w:name w:val="h2.srodpodtytul5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6">
    <w:name w:val="h2.srodpodtytul6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7">
    <w:name w:val="h2.srodpodtytul7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8">
    <w:name w:val="h2.srodpodtytul8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rel">
    <w:name w:val="td.metcellleftrel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srodpodtytul1">
    <w:name w:val="h2.srodpodtytul1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2">
    <w:name w:val="h2.srodpodtytul2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3">
    <w:name w:val="h2.srodpodtytul3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label">
    <w:name w:val=".temp_autor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rodpodtytul4">
    <w:name w:val="h2.srodpodtytul4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history-current-version">
    <w:name w:val=".document-history-current-versio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lear">
    <w:name w:val="div.cle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ukryty">
    <w:name w:val=".beckstartboxukryt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wydanie">
    <w:name w:val="h3.lego_wyda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ramkawazne">
    <w:name w:val=".ramkawazn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komnohead">
    <w:name w:val=".komnohea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">
    <w:name w:val=".beckstart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ramkawaznetresc">
    <w:name w:val=".ramkawazn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dstep">
    <w:name w:val="div.odstep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bibpkt">
    <w:name w:val="ol.bibpk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url-search-hit">
    <w:name w:val="a.url-search-hit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komrow">
    <w:name w:val=".komrow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umerlink1">
    <w:name w:val=".numerlink1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9">
    <w:name w:val="h2.srodpodtytul9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rsysrule">
    <w:name w:val="hr.sys_rul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tart">
    <w:name w:val="h3.start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hAnsi="Helvetica" w:cs="Helvetica"/>
      <w:b/>
      <w:bCs/>
      <w:color w:val="B52022"/>
      <w:sz w:val="20"/>
      <w:szCs w:val="20"/>
    </w:rPr>
  </w:style>
  <w:style w:type="paragraph" w:customStyle="1" w:styleId="tabtransp">
    <w:name w:val=".tabtransp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eadmore">
    <w:name w:val=".read_mor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inf">
    <w:name w:val="p.inf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num1">
    <w:name w:val="div.pktnum1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legotitle">
    <w:name w:val="h2.lego_titl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ableindex">
    <w:name w:val="table.index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fragment">
    <w:name w:val=".document-fragment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laszczszczegol">
    <w:name w:val="div.plaszcz_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tytul">
    <w:name w:val="h2.srodtytul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hAnsi="Helvetica" w:cs="Helvetica"/>
      <w:color w:val="000000"/>
    </w:rPr>
  </w:style>
  <w:style w:type="paragraph" w:customStyle="1" w:styleId="pkttyt">
    <w:name w:val=".pkttyt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able">
    <w:name w:val=".bib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beckstartboxinfor">
    <w:name w:val=".beckstartboxinf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author">
    <w:name w:val="td.metric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ablekomentarzowa">
    <w:name w:val="table.komentarzow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">
    <w:name w:val="div.para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legoright">
    <w:name w:val="td.lego_righ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entry-text">
    <w:name w:val=".entry-text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FF"/>
      <w:sz w:val="14"/>
      <w:szCs w:val="14"/>
    </w:rPr>
  </w:style>
  <w:style w:type="paragraph" w:customStyle="1" w:styleId="tdmetcellright1">
    <w:name w:val="td.metcellright1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header">
    <w:name w:val="table.startheader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rientacyjna">
    <w:name w:val="div.orientacyj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1">
    <w:name w:val=".beckstartbox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odul">
    <w:name w:val="p.modu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ramkawaznenazwa">
    <w:name w:val=".ramkawazn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ocpagenum">
    <w:name w:val="p.tocpagenum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ulorzlistawyrozniona">
    <w:name w:val="ul.orz_lista_wyrozni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rmetrow">
    <w:name w:val="tr.metrow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srodtyt5">
    <w:name w:val="p.srodtyt5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">
    <w:name w:val=".temp_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6">
    <w:name w:val="p.srodtyt6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7">
    <w:name w:val="p.srodtyt7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owcategory">
    <w:name w:val=".rowcategory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">
    <w:name w:val="td.metcelllef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psrodtyt1">
    <w:name w:val="p.srodtyt1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srodtyt2">
    <w:name w:val="p.srodtyt2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3">
    <w:name w:val="p.srodtyt3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4">
    <w:name w:val="p.srodtyt4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ettable">
    <w:name w:val="table.met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spancytat">
    <w:name w:val="span.cyta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2srodpodtytul">
    <w:name w:val="h2.srodpodtytul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divstronablock">
    <w:name w:val="div.stronabloc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tresc">
    <w:name w:val=".ramkaorzeczeni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author">
    <w:name w:val="h3.lego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zmtableinner">
    <w:name w:val=".zmtableinn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tyt">
    <w:name w:val=".arttyt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zmtablerowheader">
    <w:name w:val=".zmtablerowhead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ramkaorzeczenie">
    <w:name w:val=".ramkaorzecze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nazwa">
    <w:name w:val=".ramkaprzykladnazw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center"/>
    </w:pPr>
    <w:rPr>
      <w:rFonts w:ascii="Helvetica" w:hAnsi="Helvetica" w:cs="Helvetica"/>
      <w:b/>
      <w:bCs/>
      <w:color w:val="000000"/>
    </w:rPr>
  </w:style>
  <w:style w:type="paragraph" w:customStyle="1" w:styleId="h1frontpagenadpisius">
    <w:name w:val="h1.frontpage_nadpis_ius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divpicture">
    <w:name w:val="div.pictur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center">
    <w:name w:val="table.maincent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">
    <w:name w:val="h1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  <w:style w:type="paragraph" w:customStyle="1" w:styleId="tdmetcellright">
    <w:name w:val="td.metcellrigh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main">
    <w:name w:val="p.main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iuscell">
    <w:name w:val=".ius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wide">
    <w:name w:val=".nrbrzegwid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proms">
    <w:name w:val="h2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ub-guides">
    <w:name w:val=".sub-guides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orz">
    <w:name w:val="h2.srodpodtytulorz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numer">
    <w:name w:val=".orz_num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ramkaorzeczenienazwa">
    <w:name w:val=".ramkaorzeczeni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main">
    <w:name w:val="td.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pparorig">
    <w:name w:val="p.parorig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titleimg">
    <w:name w:val="td.metric_title_img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howhide">
    <w:name w:val=".showhid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1">
    <w:name w:val="h1.frontpage_nadpis1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szczegol">
    <w:name w:val="div.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pnaglowekcenter">
    <w:name w:val="p.naglowek_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rtyt">
    <w:name w:val=".partyt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articletitle">
    <w:name w:val="span.article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autor">
    <w:name w:val="p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2230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2017-12-12T18:58:00Z</dcterms:created>
  <dcterms:modified xsi:type="dcterms:W3CDTF">2017-12-12T18:58:00Z</dcterms:modified>
</cp:coreProperties>
</file>