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0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7605"/>
      </w:tblGrid>
      <w:tr w:rsidR="005B7A46" w:rsidRPr="00263D22" w:rsidTr="005801B2">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jc w:val="center"/>
              <w:rPr>
                <w:rFonts w:asciiTheme="minorHAnsi" w:eastAsia="Garamond" w:hAnsiTheme="minorHAnsi"/>
                <w:b/>
                <w:bCs/>
              </w:rPr>
            </w:pPr>
            <w:r w:rsidRPr="00263D22">
              <w:rPr>
                <w:rFonts w:asciiTheme="minorHAnsi" w:eastAsia="Garamond" w:hAnsiTheme="minorHAnsi"/>
                <w:b/>
                <w:bCs/>
              </w:rPr>
              <w:t>Nazwa jednostki</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jc w:val="center"/>
              <w:rPr>
                <w:rFonts w:asciiTheme="minorHAnsi" w:eastAsia="Garamond" w:hAnsiTheme="minorHAnsi"/>
                <w:b/>
                <w:bCs/>
              </w:rPr>
            </w:pPr>
            <w:r w:rsidRPr="00263D22">
              <w:rPr>
                <w:rFonts w:asciiTheme="minorHAnsi" w:eastAsia="Garamond" w:hAnsiTheme="minorHAnsi"/>
                <w:b/>
                <w:bCs/>
              </w:rPr>
              <w:t>Instytut Historii, Wydział Nauk Humanistycznych</w:t>
            </w:r>
          </w:p>
        </w:tc>
      </w:tr>
      <w:tr w:rsidR="005B7A46" w:rsidRPr="00263D22" w:rsidTr="005801B2">
        <w:trPr>
          <w:trHeight w:val="65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Nazwa kierunku (specjalności)</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5B7A46" w:rsidRPr="00AC43FB" w:rsidRDefault="00454C7D" w:rsidP="00454C7D">
            <w:pPr>
              <w:jc w:val="center"/>
              <w:rPr>
                <w:rFonts w:asciiTheme="minorHAnsi" w:eastAsia="Garamond" w:hAnsiTheme="minorHAnsi"/>
                <w:b/>
                <w:bCs/>
              </w:rPr>
            </w:pPr>
            <w:r>
              <w:rPr>
                <w:rFonts w:asciiTheme="minorHAnsi" w:eastAsia="Garamond" w:hAnsiTheme="minorHAnsi"/>
                <w:b/>
                <w:bCs/>
              </w:rPr>
              <w:t>H</w:t>
            </w:r>
            <w:r w:rsidRPr="00454C7D">
              <w:rPr>
                <w:rFonts w:asciiTheme="minorHAnsi" w:eastAsia="Garamond" w:hAnsiTheme="minorHAnsi"/>
                <w:b/>
                <w:bCs/>
              </w:rPr>
              <w:t>istoria, specjalizacja archiwalna, studia s</w:t>
            </w:r>
            <w:r>
              <w:rPr>
                <w:rFonts w:asciiTheme="minorHAnsi" w:eastAsia="Garamond" w:hAnsiTheme="minorHAnsi"/>
                <w:b/>
                <w:bCs/>
              </w:rPr>
              <w:t>tacjonarne 2 stopnia, 3 semestr</w:t>
            </w:r>
          </w:p>
        </w:tc>
      </w:tr>
      <w:tr w:rsidR="005B7A46" w:rsidRPr="00263D22" w:rsidTr="005801B2">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Nazwa przedmiotu</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090E52" w:rsidP="00454C7D">
            <w:pPr>
              <w:pStyle w:val="Akapitzlist"/>
              <w:spacing w:line="240" w:lineRule="auto"/>
              <w:jc w:val="center"/>
              <w:rPr>
                <w:rFonts w:asciiTheme="minorHAnsi" w:hAnsiTheme="minorHAnsi"/>
              </w:rPr>
            </w:pPr>
            <w:r w:rsidRPr="00454C7D">
              <w:rPr>
                <w:rFonts w:asciiTheme="minorHAnsi" w:hAnsiTheme="minorHAnsi"/>
                <w:b/>
              </w:rPr>
              <w:t>Dokumentacja IPN, problemy badawcze i metody opracowania zasobu (ćwiczenia praktyczne w archiwum</w:t>
            </w:r>
            <w:r w:rsidRPr="00090E52">
              <w:rPr>
                <w:rFonts w:asciiTheme="minorHAnsi" w:hAnsiTheme="minorHAnsi"/>
              </w:rPr>
              <w:t>)</w:t>
            </w:r>
          </w:p>
        </w:tc>
      </w:tr>
      <w:tr w:rsidR="005B7A46" w:rsidRPr="00263D22" w:rsidTr="005801B2">
        <w:trPr>
          <w:trHeight w:val="1077"/>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Przedmioty wprowadzające (</w:t>
            </w:r>
            <w:proofErr w:type="spellStart"/>
            <w:r w:rsidRPr="00263D22">
              <w:rPr>
                <w:rFonts w:asciiTheme="minorHAnsi" w:eastAsia="Garamond" w:hAnsiTheme="minorHAnsi"/>
                <w:b/>
                <w:bCs/>
                <w:i/>
              </w:rPr>
              <w:t>prerekwizyty</w:t>
            </w:r>
            <w:proofErr w:type="spellEnd"/>
            <w:r w:rsidRPr="00263D22">
              <w:rPr>
                <w:rFonts w:asciiTheme="minorHAnsi" w:eastAsia="Garamond" w:hAnsiTheme="minorHAnsi"/>
                <w:b/>
                <w:bCs/>
              </w:rPr>
              <w:t>) oraz wymagania wstępne</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5B7A46" w:rsidRDefault="005B7A46" w:rsidP="005801B2">
            <w:pPr>
              <w:autoSpaceDE w:val="0"/>
              <w:spacing w:after="0" w:line="240" w:lineRule="auto"/>
              <w:jc w:val="both"/>
              <w:rPr>
                <w:rFonts w:asciiTheme="minorHAnsi" w:eastAsia="Garamond" w:hAnsiTheme="minorHAnsi"/>
              </w:rPr>
            </w:pPr>
          </w:p>
          <w:p w:rsidR="00454C7D" w:rsidRPr="00263D22" w:rsidRDefault="00454C7D" w:rsidP="005801B2">
            <w:pPr>
              <w:autoSpaceDE w:val="0"/>
              <w:spacing w:after="0" w:line="240" w:lineRule="auto"/>
              <w:jc w:val="both"/>
              <w:rPr>
                <w:rFonts w:asciiTheme="minorHAnsi" w:eastAsia="Garamond" w:hAnsiTheme="minorHAnsi"/>
              </w:rPr>
            </w:pPr>
            <w:r>
              <w:rPr>
                <w:rFonts w:asciiTheme="minorHAnsi" w:eastAsia="Garamond" w:hAnsiTheme="minorHAnsi"/>
              </w:rPr>
              <w:t>Brak</w:t>
            </w:r>
          </w:p>
        </w:tc>
      </w:tr>
      <w:tr w:rsidR="005B7A46" w:rsidRPr="00263D22" w:rsidTr="005801B2">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Liczba godzin zajęć dydaktycznych</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454C7D" w:rsidP="00454C7D">
            <w:pPr>
              <w:autoSpaceDE w:val="0"/>
              <w:spacing w:after="0" w:line="240" w:lineRule="auto"/>
              <w:jc w:val="center"/>
              <w:rPr>
                <w:rFonts w:asciiTheme="minorHAnsi" w:eastAsia="Garamond" w:hAnsiTheme="minorHAnsi"/>
              </w:rPr>
            </w:pPr>
            <w:r>
              <w:rPr>
                <w:rFonts w:asciiTheme="minorHAnsi" w:eastAsia="Garamond" w:hAnsiTheme="minorHAnsi"/>
              </w:rPr>
              <w:t>30</w:t>
            </w:r>
          </w:p>
          <w:p w:rsidR="005B7A46" w:rsidRPr="00263D22" w:rsidRDefault="005B7A46" w:rsidP="005801B2">
            <w:pPr>
              <w:autoSpaceDE w:val="0"/>
              <w:spacing w:after="0" w:line="240" w:lineRule="auto"/>
              <w:jc w:val="center"/>
              <w:rPr>
                <w:rFonts w:asciiTheme="minorHAnsi" w:eastAsia="Garamond" w:hAnsiTheme="minorHAnsi"/>
              </w:rPr>
            </w:pPr>
          </w:p>
        </w:tc>
      </w:tr>
      <w:tr w:rsidR="005B7A46" w:rsidRPr="00263D22" w:rsidTr="005801B2">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Liczba punktów ECTS</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D743C" w:rsidP="005801B2">
            <w:pPr>
              <w:autoSpaceDE w:val="0"/>
              <w:spacing w:after="0" w:line="240" w:lineRule="auto"/>
              <w:jc w:val="center"/>
              <w:rPr>
                <w:rFonts w:asciiTheme="minorHAnsi" w:eastAsia="Garamond" w:hAnsiTheme="minorHAnsi"/>
              </w:rPr>
            </w:pPr>
            <w:r>
              <w:rPr>
                <w:rFonts w:asciiTheme="minorHAnsi" w:eastAsia="Garamond" w:hAnsiTheme="minorHAnsi"/>
              </w:rPr>
              <w:t>2</w:t>
            </w:r>
            <w:bookmarkStart w:id="0" w:name="_GoBack"/>
            <w:bookmarkEnd w:id="0"/>
          </w:p>
        </w:tc>
      </w:tr>
      <w:tr w:rsidR="005B7A46" w:rsidRPr="00263D22" w:rsidTr="005801B2">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Założenia i cele przedmiotu</w:t>
            </w:r>
          </w:p>
        </w:tc>
        <w:tc>
          <w:tcPr>
            <w:tcW w:w="7605" w:type="dxa"/>
            <w:tcBorders>
              <w:top w:val="single" w:sz="4" w:space="0" w:color="auto"/>
              <w:left w:val="single" w:sz="4" w:space="0" w:color="auto"/>
              <w:bottom w:val="single" w:sz="4" w:space="0" w:color="auto"/>
              <w:right w:val="single" w:sz="4" w:space="0" w:color="auto"/>
            </w:tcBorders>
            <w:shd w:val="clear" w:color="auto" w:fill="FFFFFF"/>
            <w:hideMark/>
          </w:tcPr>
          <w:p w:rsidR="005B7A46" w:rsidRPr="00263D22" w:rsidRDefault="00454C7D" w:rsidP="005801B2">
            <w:pPr>
              <w:autoSpaceDE w:val="0"/>
              <w:spacing w:after="0" w:line="240" w:lineRule="auto"/>
              <w:jc w:val="both"/>
              <w:rPr>
                <w:rFonts w:asciiTheme="minorHAnsi" w:eastAsia="Garamond" w:hAnsiTheme="minorHAnsi"/>
                <w:bCs/>
              </w:rPr>
            </w:pPr>
            <w:r w:rsidRPr="00454C7D">
              <w:rPr>
                <w:rFonts w:asciiTheme="minorHAnsi" w:eastAsia="Garamond" w:hAnsiTheme="minorHAnsi"/>
                <w:bCs/>
              </w:rPr>
              <w:t>Celem ćwiczeń jest zapoznanie studentów z problemami , które występują przy badaniu zasobu IPN. Ćwiczenia przedstawią najnowsze metody, które stosowane są w pracy Instytutu Pamięci Narodowej. Umożliwiają praktyczny udział we właściwych komórkach archiwalnych, co pozwala zdobyć doświadczenie oraz umiejętności przydatne do analizy zasobu IPN.</w:t>
            </w:r>
          </w:p>
        </w:tc>
      </w:tr>
      <w:tr w:rsidR="005B7A46" w:rsidRPr="00263D22" w:rsidTr="005801B2">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Metody i pomoce dydaktyczne</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454C7D" w:rsidP="005801B2">
            <w:pPr>
              <w:autoSpaceDE w:val="0"/>
              <w:spacing w:after="0" w:line="240" w:lineRule="auto"/>
              <w:jc w:val="both"/>
              <w:rPr>
                <w:rFonts w:asciiTheme="minorHAnsi" w:eastAsia="Garamond" w:hAnsiTheme="minorHAnsi"/>
              </w:rPr>
            </w:pPr>
            <w:r>
              <w:rPr>
                <w:rFonts w:asciiTheme="minorHAnsi" w:eastAsia="Garamond" w:hAnsiTheme="minorHAnsi"/>
              </w:rPr>
              <w:t>Ć</w:t>
            </w:r>
            <w:r w:rsidRPr="00454C7D">
              <w:rPr>
                <w:rFonts w:asciiTheme="minorHAnsi" w:eastAsia="Garamond" w:hAnsiTheme="minorHAnsi"/>
              </w:rPr>
              <w:t>wiczenia, ćwiczenia praktyczne w pracowni IPN</w:t>
            </w:r>
          </w:p>
          <w:p w:rsidR="005B7A46" w:rsidRPr="00263D22" w:rsidRDefault="005B7A46" w:rsidP="005801B2">
            <w:pPr>
              <w:autoSpaceDE w:val="0"/>
              <w:spacing w:after="0" w:line="240" w:lineRule="auto"/>
              <w:jc w:val="both"/>
              <w:rPr>
                <w:rFonts w:asciiTheme="minorHAnsi" w:eastAsia="Garamond" w:hAnsiTheme="minorHAnsi"/>
              </w:rPr>
            </w:pPr>
          </w:p>
        </w:tc>
      </w:tr>
      <w:tr w:rsidR="005B7A46" w:rsidRPr="00263D22" w:rsidTr="005801B2">
        <w:trPr>
          <w:trHeight w:val="58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Forma i warunki zaliczenia</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D800DC" w:rsidP="005801B2">
            <w:pPr>
              <w:autoSpaceDE w:val="0"/>
              <w:spacing w:after="0" w:line="240" w:lineRule="auto"/>
              <w:jc w:val="both"/>
              <w:rPr>
                <w:rFonts w:asciiTheme="minorHAnsi" w:eastAsia="Garamond" w:hAnsiTheme="minorHAnsi"/>
              </w:rPr>
            </w:pPr>
            <w:r w:rsidRPr="00D800DC">
              <w:rPr>
                <w:rFonts w:asciiTheme="minorHAnsi" w:eastAsia="Garamond" w:hAnsiTheme="minorHAnsi"/>
              </w:rPr>
              <w:t>Zaliczenie na ocenę.</w:t>
            </w:r>
          </w:p>
        </w:tc>
      </w:tr>
      <w:tr w:rsidR="005B7A46" w:rsidRPr="00263D22" w:rsidTr="005801B2">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Treści programowe</w:t>
            </w:r>
          </w:p>
        </w:tc>
        <w:tc>
          <w:tcPr>
            <w:tcW w:w="7605" w:type="dxa"/>
            <w:tcBorders>
              <w:top w:val="single" w:sz="4" w:space="0" w:color="auto"/>
              <w:left w:val="single" w:sz="4" w:space="0" w:color="auto"/>
              <w:bottom w:val="single" w:sz="4" w:space="0" w:color="auto"/>
              <w:right w:val="single" w:sz="4" w:space="0" w:color="auto"/>
            </w:tcBorders>
            <w:shd w:val="clear" w:color="auto" w:fill="FFFFFF"/>
            <w:hideMark/>
          </w:tcPr>
          <w:p w:rsidR="005B7A46" w:rsidRPr="00263D22" w:rsidRDefault="00454C7D" w:rsidP="005801B2">
            <w:pPr>
              <w:autoSpaceDE w:val="0"/>
              <w:spacing w:after="0" w:line="240" w:lineRule="auto"/>
              <w:jc w:val="both"/>
              <w:rPr>
                <w:rFonts w:asciiTheme="minorHAnsi" w:eastAsia="Garamond" w:hAnsiTheme="minorHAnsi"/>
              </w:rPr>
            </w:pPr>
            <w:r w:rsidRPr="00454C7D">
              <w:rPr>
                <w:rFonts w:asciiTheme="minorHAnsi" w:eastAsia="Garamond" w:hAnsiTheme="minorHAnsi"/>
              </w:rPr>
              <w:t>Ćwiczenia ukazują podstawowe problemy badawcze jakie napotyka badacz zasobów archiwalnych Instytutu Pamięci Narodowej. Przedstawią metody opracowania materiałów źródłowych oraz analizę podstawowych zagadnień ułatwiających pracę badawczą. W ramach zajęć omawiana jest geneza i rozwój Instytutu Pamięci Narodowej. Dużo miejsca zostaje poświęconego elementom, które wprowadzą teoretyczne zagadnienia, mające na celu poznanie problemów badawczych oraz metod opracowania zasobu. Omawiane są najważniejsze ustawy, rozporządzenia oraz regulaminy, które wprowadzą studenta w praktyczne analizowanie zasobów. W ramach ćwiczeń analizowane są kopie dokumentów źródłowych, które umożliwiają praktyczną pracę. Istotnym elementem jest udział studentów w zajęciach praktycznych, które odbywają się we właściwym Oddziale IPN w Lublinie. Podczas zajęć praktycznych studenci zapoznają się z system komputerowym, który umożliwia wyszukiwanie materiałów źródłowych. Ponadto uczestniczą w spotkaniach z pracownikami IPN, którzy udostępniają materiały archiwalne z uwzględnieniem metod opracowania i problemów badawczych. Uczestnicy zajęć uzyskują umiejętność zapoznania się z system, który służy do konserwacji zasobu oraz dokonywaniem jego kopi.  Z jednej strony celem ćwiczeń jest pokazanie organizacji działania Instytutu Pamięci Narodowej, a z drugiej praktyczne omówienie metod opracowania i występujących przy tym problemów.</w:t>
            </w:r>
          </w:p>
        </w:tc>
      </w:tr>
      <w:tr w:rsidR="005B7A46" w:rsidRPr="00263D22" w:rsidTr="005801B2">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t xml:space="preserve">Literatura </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 xml:space="preserve">Literatura podstawowa: </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Ustawa z dnia 18 grudnia 1998 r. o Instytucie Pamięci Narodowej - Komisji Ścigania Zbrodni przeciwko Narodowi Polskiemu;</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Ustawa z dnia 23 lutego 1991 r. o uznaniu za nieważne orzeczeń wydanych wobec osób represjonowanych za działalność na rzecz niepodległego bytu Państwa Polskiego;</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Ustawa z dnia 18 października 2006 r. o ujawnianiu informacji o dokumentach organów bezpieczeństwa państwa z lat 1944-1990 oraz treści tych dokumentów;</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Statut, struktura organizacyjna z dnia 1.08.2012;</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 xml:space="preserve">Regulamin Organizacyjny Instytutu Pamięci Narodowej – Komisji Ścigania Zbrodni </w:t>
            </w:r>
            <w:r w:rsidRPr="00454C7D">
              <w:rPr>
                <w:rFonts w:asciiTheme="minorHAnsi" w:eastAsia="Garamond" w:hAnsiTheme="minorHAnsi"/>
              </w:rPr>
              <w:lastRenderedPageBreak/>
              <w:t>przeciwko Narodowi Polskiemu z dnia 13 września 2011 r.;</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 xml:space="preserve">Informator o zasobie archiwalnym Instytutu Pamięci Narodowej, red. Jerzy Bednarek, Rafał </w:t>
            </w:r>
            <w:proofErr w:type="spellStart"/>
            <w:r w:rsidRPr="00454C7D">
              <w:rPr>
                <w:rFonts w:asciiTheme="minorHAnsi" w:eastAsia="Garamond" w:hAnsiTheme="minorHAnsi"/>
              </w:rPr>
              <w:t>Leśkiewicz</w:t>
            </w:r>
            <w:proofErr w:type="spellEnd"/>
            <w:r w:rsidRPr="00454C7D">
              <w:rPr>
                <w:rFonts w:asciiTheme="minorHAnsi" w:eastAsia="Garamond" w:hAnsiTheme="minorHAnsi"/>
              </w:rPr>
              <w:t>, Warszawa 2009;</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Przegląd Archiwalny Instytutu Pamięci Narodowej, Warszawa 2011, t. 1 – 4;</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 xml:space="preserve">Informator. Instytutu Pamięci Narodowej. Oddział w Lublinie, red. Agata </w:t>
            </w:r>
            <w:proofErr w:type="spellStart"/>
            <w:r w:rsidRPr="00454C7D">
              <w:rPr>
                <w:rFonts w:asciiTheme="minorHAnsi" w:eastAsia="Garamond" w:hAnsiTheme="minorHAnsi"/>
              </w:rPr>
              <w:t>Fijuth</w:t>
            </w:r>
            <w:proofErr w:type="spellEnd"/>
            <w:r w:rsidRPr="00454C7D">
              <w:rPr>
                <w:rFonts w:asciiTheme="minorHAnsi" w:eastAsia="Garamond" w:hAnsiTheme="minorHAnsi"/>
              </w:rPr>
              <w:t xml:space="preserve">, Jacek </w:t>
            </w:r>
            <w:proofErr w:type="spellStart"/>
            <w:r w:rsidRPr="00454C7D">
              <w:rPr>
                <w:rFonts w:asciiTheme="minorHAnsi" w:eastAsia="Garamond" w:hAnsiTheme="minorHAnsi"/>
              </w:rPr>
              <w:t>Welter</w:t>
            </w:r>
            <w:proofErr w:type="spellEnd"/>
            <w:r w:rsidRPr="00454C7D">
              <w:rPr>
                <w:rFonts w:asciiTheme="minorHAnsi" w:eastAsia="Garamond" w:hAnsiTheme="minorHAnsi"/>
              </w:rPr>
              <w:t>, Lublin 2007;</w:t>
            </w:r>
          </w:p>
          <w:p w:rsidR="00454C7D" w:rsidRPr="00454C7D" w:rsidRDefault="00454C7D" w:rsidP="00454C7D">
            <w:pPr>
              <w:autoSpaceDE w:val="0"/>
              <w:spacing w:after="0" w:line="240" w:lineRule="auto"/>
              <w:jc w:val="both"/>
              <w:rPr>
                <w:rFonts w:asciiTheme="minorHAnsi" w:eastAsia="Garamond" w:hAnsiTheme="minorHAnsi"/>
              </w:rPr>
            </w:pP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Literatura uzupełniająca:</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 xml:space="preserve">Opracowanie i konserwacja zasobu archiwalnego. Materiały z konferencji archiwalnej w białostockim Oddziale IPN – Białowieża 22-23 października 2003 r., red. Eugeniusz </w:t>
            </w:r>
            <w:proofErr w:type="spellStart"/>
            <w:r w:rsidRPr="00454C7D">
              <w:rPr>
                <w:rFonts w:asciiTheme="minorHAnsi" w:eastAsia="Garamond" w:hAnsiTheme="minorHAnsi"/>
              </w:rPr>
              <w:t>Korneluk</w:t>
            </w:r>
            <w:proofErr w:type="spellEnd"/>
            <w:r w:rsidRPr="00454C7D">
              <w:rPr>
                <w:rFonts w:asciiTheme="minorHAnsi" w:eastAsia="Garamond" w:hAnsiTheme="minorHAnsi"/>
              </w:rPr>
              <w:t>, Białystok 2005;</w:t>
            </w:r>
          </w:p>
          <w:p w:rsidR="00454C7D" w:rsidRPr="00454C7D" w:rsidRDefault="00454C7D" w:rsidP="00454C7D">
            <w:pPr>
              <w:autoSpaceDE w:val="0"/>
              <w:spacing w:after="0" w:line="240" w:lineRule="auto"/>
              <w:jc w:val="both"/>
              <w:rPr>
                <w:rFonts w:asciiTheme="minorHAnsi" w:eastAsia="Garamond" w:hAnsiTheme="minorHAnsi"/>
              </w:rPr>
            </w:pPr>
            <w:proofErr w:type="spellStart"/>
            <w:r w:rsidRPr="00454C7D">
              <w:rPr>
                <w:rFonts w:asciiTheme="minorHAnsi" w:eastAsia="Garamond" w:hAnsiTheme="minorHAnsi"/>
              </w:rPr>
              <w:t>Gałaszka</w:t>
            </w:r>
            <w:proofErr w:type="spellEnd"/>
            <w:r w:rsidRPr="00454C7D">
              <w:rPr>
                <w:rFonts w:asciiTheme="minorHAnsi" w:eastAsia="Garamond" w:hAnsiTheme="minorHAnsi"/>
              </w:rPr>
              <w:t xml:space="preserve"> J., Zasady udostępniania archiwaliów IPN [w:] Z archiwów IPN, t. 1: Materiały z konferencji zorganizowanej 21 kwietnia 2004 r. w Warszawie przez Biuro Udostępniania i Archiwizacji Dokumentów, red. Bernadetta Gronek, Warszawa 2005;</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Instytut Pamięci Narodowej – Komisja Ścigania Zbrodni przeciwko Narodowi Polskiemu. Oddział w Rzeszowie. Informator, red. Bogdan Strycharz, Rzeszów 2007;</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 xml:space="preserve">Kania T., Sobala L., Orzechowski P., Tematyka kwerend realizowanych w celach naukowych w oparciu o zasób archiwalny poznańskiego Oddziału Instytutu Pamięci Narodowej [w:] Z archiwum Oddziału Instytutu Pamięci Narodowej w Poznaniu. Studia na zasobem, red. Rafał Kościański, Rafał </w:t>
            </w:r>
            <w:proofErr w:type="spellStart"/>
            <w:r w:rsidRPr="00454C7D">
              <w:rPr>
                <w:rFonts w:asciiTheme="minorHAnsi" w:eastAsia="Garamond" w:hAnsiTheme="minorHAnsi"/>
              </w:rPr>
              <w:t>Leśkiewicz</w:t>
            </w:r>
            <w:proofErr w:type="spellEnd"/>
            <w:r w:rsidRPr="00454C7D">
              <w:rPr>
                <w:rFonts w:asciiTheme="minorHAnsi" w:eastAsia="Garamond" w:hAnsiTheme="minorHAnsi"/>
              </w:rPr>
              <w:t>, Warszawa-Poznań 2008;</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Kuligowski J., Archiwa IPN, „Biuletyn Informacji Narodowej” 2002, nr 4, s. 25 – 26;</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Kuligowski J., Charakterystyka zasobu aktowego Instytutu Pamięci Narodowej [w:] Z archiwum IPN, t. 1: Materiały z konferencji zorganizowanej 21 kwietnia 2004 r. Warszawie przez Biuro Udostępniania i Archiwizacji Dokumentów, red. B. Gronek, Warszawa 2005, s. 7-12;</w:t>
            </w:r>
          </w:p>
          <w:p w:rsidR="00454C7D" w:rsidRPr="00454C7D" w:rsidRDefault="00454C7D" w:rsidP="00454C7D">
            <w:pPr>
              <w:autoSpaceDE w:val="0"/>
              <w:spacing w:after="0" w:line="240" w:lineRule="auto"/>
              <w:jc w:val="both"/>
              <w:rPr>
                <w:rFonts w:asciiTheme="minorHAnsi" w:eastAsia="Garamond" w:hAnsiTheme="minorHAnsi"/>
              </w:rPr>
            </w:pPr>
            <w:proofErr w:type="spellStart"/>
            <w:r w:rsidRPr="00454C7D">
              <w:rPr>
                <w:rFonts w:asciiTheme="minorHAnsi" w:eastAsia="Garamond" w:hAnsiTheme="minorHAnsi"/>
              </w:rPr>
              <w:t>Manja</w:t>
            </w:r>
            <w:proofErr w:type="spellEnd"/>
            <w:r w:rsidRPr="00454C7D">
              <w:rPr>
                <w:rFonts w:asciiTheme="minorHAnsi" w:eastAsia="Garamond" w:hAnsiTheme="minorHAnsi"/>
              </w:rPr>
              <w:t xml:space="preserve"> D., Polskie prawo archiwalne a archiwum wyodrębnione Instytutu Pamięci Narodowej [w:] Prawo archiwalne. Stan aktualny i perspektywy zmian. Materiały z międzynarodowej konferencji, Toruń 20-21 kwietnia 2007 r., red. H. Robótka, Toruń 2007, s. 102-116;</w:t>
            </w:r>
          </w:p>
          <w:p w:rsidR="00454C7D" w:rsidRPr="00454C7D" w:rsidRDefault="00454C7D" w:rsidP="00454C7D">
            <w:pPr>
              <w:autoSpaceDE w:val="0"/>
              <w:spacing w:after="0" w:line="240" w:lineRule="auto"/>
              <w:jc w:val="both"/>
              <w:rPr>
                <w:rFonts w:asciiTheme="minorHAnsi" w:eastAsia="Garamond" w:hAnsiTheme="minorHAnsi"/>
              </w:rPr>
            </w:pPr>
            <w:r w:rsidRPr="00454C7D">
              <w:rPr>
                <w:rFonts w:asciiTheme="minorHAnsi" w:eastAsia="Garamond" w:hAnsiTheme="minorHAnsi"/>
              </w:rPr>
              <w:t xml:space="preserve">Opracowanie i konserwacja zasobu archiwalnego. Materiały z konferencji archiwalnej w białostockim Oddziale IPN – Białowieża 22 – 23 października 2003 r., red. E. </w:t>
            </w:r>
            <w:proofErr w:type="spellStart"/>
            <w:r w:rsidRPr="00454C7D">
              <w:rPr>
                <w:rFonts w:asciiTheme="minorHAnsi" w:eastAsia="Garamond" w:hAnsiTheme="minorHAnsi"/>
              </w:rPr>
              <w:t>Korneluk</w:t>
            </w:r>
            <w:proofErr w:type="spellEnd"/>
            <w:r w:rsidRPr="00454C7D">
              <w:rPr>
                <w:rFonts w:asciiTheme="minorHAnsi" w:eastAsia="Garamond" w:hAnsiTheme="minorHAnsi"/>
              </w:rPr>
              <w:t>, Białystok 2005;</w:t>
            </w:r>
          </w:p>
          <w:p w:rsidR="005B7A46" w:rsidRPr="00263D22" w:rsidRDefault="00454C7D" w:rsidP="005801B2">
            <w:pPr>
              <w:autoSpaceDE w:val="0"/>
              <w:spacing w:after="0" w:line="240" w:lineRule="auto"/>
              <w:jc w:val="both"/>
              <w:rPr>
                <w:rFonts w:asciiTheme="minorHAnsi" w:eastAsia="Garamond" w:hAnsiTheme="minorHAnsi"/>
              </w:rPr>
            </w:pPr>
            <w:r w:rsidRPr="00454C7D">
              <w:rPr>
                <w:rFonts w:asciiTheme="minorHAnsi" w:eastAsia="Garamond" w:hAnsiTheme="minorHAnsi"/>
              </w:rPr>
              <w:t>W kręgu „teczek”. Z badań nad zasobem i funkcjami archiwum Instytutu Pamięci Narodowej, red. J. Bednare</w:t>
            </w:r>
            <w:r>
              <w:rPr>
                <w:rFonts w:asciiTheme="minorHAnsi" w:eastAsia="Garamond" w:hAnsiTheme="minorHAnsi"/>
              </w:rPr>
              <w:t>k, P. Perzyna, Łódź-Toruń 2006.</w:t>
            </w:r>
          </w:p>
        </w:tc>
      </w:tr>
      <w:tr w:rsidR="005B7A46" w:rsidRPr="00263D22" w:rsidTr="005801B2">
        <w:trPr>
          <w:trHeight w:val="559"/>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5B7A46" w:rsidP="005801B2">
            <w:pPr>
              <w:autoSpaceDE w:val="0"/>
              <w:spacing w:after="0" w:line="240" w:lineRule="auto"/>
              <w:jc w:val="center"/>
              <w:rPr>
                <w:rFonts w:asciiTheme="minorHAnsi" w:eastAsia="Garamond" w:hAnsiTheme="minorHAnsi"/>
                <w:b/>
                <w:bCs/>
              </w:rPr>
            </w:pPr>
            <w:r w:rsidRPr="00263D22">
              <w:rPr>
                <w:rFonts w:asciiTheme="minorHAnsi" w:eastAsia="Garamond" w:hAnsiTheme="minorHAnsi"/>
                <w:b/>
                <w:bCs/>
              </w:rPr>
              <w:lastRenderedPageBreak/>
              <w:t>Osoba prowadząca zajęcia</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5B7A46" w:rsidRPr="00263D22" w:rsidRDefault="00D800DC" w:rsidP="005801B2">
            <w:pPr>
              <w:pStyle w:val="Akapitzlist"/>
              <w:ind w:left="0"/>
              <w:jc w:val="center"/>
              <w:rPr>
                <w:rFonts w:asciiTheme="minorHAnsi" w:hAnsiTheme="minorHAnsi"/>
              </w:rPr>
            </w:pPr>
            <w:r w:rsidRPr="00D800DC">
              <w:rPr>
                <w:rFonts w:asciiTheme="minorHAnsi" w:hAnsiTheme="minorHAnsi"/>
              </w:rPr>
              <w:t xml:space="preserve">mgr Kamil Sulej, </w:t>
            </w:r>
            <w:hyperlink r:id="rId5" w:history="1">
              <w:r w:rsidRPr="007678BA">
                <w:rPr>
                  <w:rStyle w:val="Hipercze"/>
                  <w:rFonts w:asciiTheme="minorHAnsi" w:hAnsiTheme="minorHAnsi"/>
                </w:rPr>
                <w:t>sulejkamil1923@wp.pl</w:t>
              </w:r>
            </w:hyperlink>
          </w:p>
        </w:tc>
      </w:tr>
    </w:tbl>
    <w:p w:rsidR="004D4152" w:rsidRDefault="004D4152"/>
    <w:sectPr w:rsidR="004D4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4E"/>
    <w:rsid w:val="00090E52"/>
    <w:rsid w:val="00454C7D"/>
    <w:rsid w:val="004D4152"/>
    <w:rsid w:val="005B7A46"/>
    <w:rsid w:val="005D6C4E"/>
    <w:rsid w:val="005D743C"/>
    <w:rsid w:val="00AC43FB"/>
    <w:rsid w:val="00D80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A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A46"/>
    <w:pPr>
      <w:ind w:left="720"/>
      <w:contextualSpacing/>
    </w:pPr>
  </w:style>
  <w:style w:type="character" w:styleId="Hipercze">
    <w:name w:val="Hyperlink"/>
    <w:basedOn w:val="Domylnaczcionkaakapitu"/>
    <w:uiPriority w:val="99"/>
    <w:unhideWhenUsed/>
    <w:rsid w:val="00D800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A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A46"/>
    <w:pPr>
      <w:ind w:left="720"/>
      <w:contextualSpacing/>
    </w:pPr>
  </w:style>
  <w:style w:type="character" w:styleId="Hipercze">
    <w:name w:val="Hyperlink"/>
    <w:basedOn w:val="Domylnaczcionkaakapitu"/>
    <w:uiPriority w:val="99"/>
    <w:unhideWhenUsed/>
    <w:rsid w:val="00D80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lejkamil1923@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752</Words>
  <Characters>4514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3</cp:revision>
  <dcterms:created xsi:type="dcterms:W3CDTF">2012-11-25T13:30:00Z</dcterms:created>
  <dcterms:modified xsi:type="dcterms:W3CDTF">2012-12-06T20:10:00Z</dcterms:modified>
</cp:coreProperties>
</file>