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6E7159" w:rsidRPr="00CD3B2F" w:rsidTr="006E71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6E7159" w:rsidRPr="00CD3B2F" w:rsidTr="006E7159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B2F" w:rsidRPr="00CD3B2F" w:rsidRDefault="00CD3B2F" w:rsidP="00CD3B2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6E7159" w:rsidRPr="00CD3B2F" w:rsidRDefault="006E7159" w:rsidP="00CD3B2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</w:t>
            </w:r>
            <w:r w:rsidR="00CD3B2F"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stacjonarne </w:t>
            </w: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studia</w:t>
            </w:r>
            <w:r w:rsidR="00CD3B2F"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I stopnia, rok II</w:t>
            </w: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E7159" w:rsidRPr="00CD3B2F" w:rsidTr="006E71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B2F" w:rsidRPr="00CD3B2F" w:rsidRDefault="00CD3B2F" w:rsidP="00741216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159" w:rsidRPr="00CD3B2F" w:rsidRDefault="006E7159" w:rsidP="00741216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2F">
              <w:rPr>
                <w:rFonts w:ascii="Times New Roman" w:hAnsi="Times New Roman"/>
                <w:b/>
                <w:sz w:val="24"/>
                <w:szCs w:val="24"/>
              </w:rPr>
              <w:t>Pobożność w Rzeczypospolitej</w:t>
            </w:r>
            <w:r w:rsidR="00C32AA9" w:rsidRPr="00CD3B2F">
              <w:rPr>
                <w:rFonts w:ascii="Times New Roman" w:hAnsi="Times New Roman"/>
                <w:b/>
                <w:sz w:val="24"/>
                <w:szCs w:val="24"/>
              </w:rPr>
              <w:t xml:space="preserve"> (wykład)</w:t>
            </w:r>
          </w:p>
        </w:tc>
      </w:tr>
      <w:tr w:rsidR="006E7159" w:rsidRPr="00CD3B2F" w:rsidTr="006E7159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CD3B2F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6E7159" w:rsidRPr="00CD3B2F" w:rsidRDefault="006E7159" w:rsidP="0074121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6E7159" w:rsidRPr="00CD3B2F" w:rsidTr="006E71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59" w:rsidRPr="00CD3B2F" w:rsidRDefault="00CD3B2F" w:rsidP="00CD3B2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6E7159" w:rsidRPr="00CD3B2F" w:rsidTr="006E71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59" w:rsidRPr="00CD3B2F" w:rsidRDefault="00CD3B2F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>1</w:t>
            </w:r>
          </w:p>
        </w:tc>
      </w:tr>
      <w:tr w:rsidR="006E7159" w:rsidRPr="00CD3B2F" w:rsidTr="006E71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AF105E" w:rsidP="0074121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B2F">
              <w:rPr>
                <w:rFonts w:ascii="Times New Roman" w:eastAsiaTheme="minorHAnsi" w:hAnsi="Times New Roman"/>
                <w:sz w:val="24"/>
                <w:szCs w:val="24"/>
              </w:rPr>
              <w:t>Zapoznanie studentów z różnym przejawami pobożności w Rzeczypospolitej. Ukazanie związków miedzy pobożnością o obyczajowością. Rozwijanie umiejętności krytycznej analizy źródeł wykorzystywanych w badaniach pobożności. Wskazanie trudności w ocenie zjawisk dotyczących sfery pobożności.</w:t>
            </w:r>
          </w:p>
        </w:tc>
      </w:tr>
      <w:tr w:rsidR="006E7159" w:rsidRPr="00CD3B2F" w:rsidTr="006E71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59" w:rsidRPr="00CD3B2F" w:rsidRDefault="00C32AA9" w:rsidP="0074121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>Wykład konwencjonalny, wykład z pokazem</w:t>
            </w:r>
          </w:p>
          <w:p w:rsidR="006E7159" w:rsidRPr="00CD3B2F" w:rsidRDefault="006E7159" w:rsidP="0074121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6E7159" w:rsidRPr="00CD3B2F" w:rsidTr="006E7159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59" w:rsidRPr="00CD3B2F" w:rsidRDefault="00C32AA9" w:rsidP="0074121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>Zaliczenie bez oceny, frekwencja</w:t>
            </w:r>
          </w:p>
        </w:tc>
      </w:tr>
      <w:tr w:rsidR="006E7159" w:rsidRPr="00CD3B2F" w:rsidTr="006E71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B2F">
              <w:rPr>
                <w:rFonts w:ascii="Times New Roman" w:eastAsiaTheme="minorHAnsi" w:hAnsi="Times New Roman"/>
                <w:sz w:val="24"/>
                <w:szCs w:val="24"/>
              </w:rPr>
              <w:t>Przedstawienie różnych form pobożności chrześcijańskiej części społeczeństwa Rzeczypospolitej. Ukazanie różnic stanowych, terytorialnych i chronologicznych tego zjawiska. Omówienie typów źródeł przydatnych do rekonstrukcji pobożności epoki przedrozbiorowej.</w:t>
            </w:r>
          </w:p>
        </w:tc>
      </w:tr>
      <w:tr w:rsidR="006E7159" w:rsidRPr="00CD3B2F" w:rsidTr="006E71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05E" w:rsidRPr="00CD3B2F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sz w:val="24"/>
                <w:szCs w:val="24"/>
              </w:rPr>
              <w:t xml:space="preserve">Literatura podstawowa: </w:t>
            </w:r>
          </w:p>
          <w:p w:rsidR="00AF105E" w:rsidRPr="00CD3B2F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>K. Górski, Zarys dziejów duchowości w Polsce, Kraków 1986.</w:t>
            </w:r>
          </w:p>
          <w:p w:rsidR="00AF105E" w:rsidRPr="00CD3B2F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 xml:space="preserve">S. Litak, Od reformacji do Oświecenia. Kościół katolicki w Polsce nowożytnej, Lublin 1994. T. </w:t>
            </w:r>
            <w:proofErr w:type="spellStart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Wiślicz</w:t>
            </w:r>
            <w:proofErr w:type="spellEnd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-Iwańczyk, Zarobić na duszne zbawienie. Religijność chłopów małopolskich od połowy XVI do końca XVIII wieku, Warszawa 2001.</w:t>
            </w:r>
          </w:p>
          <w:p w:rsidR="00AF105E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>S. Bylina, Chrystianizacja wsi polskiej u schyłku średniowiecza, Warszawa 2002.</w:t>
            </w:r>
          </w:p>
          <w:p w:rsidR="000D7749" w:rsidRPr="00CD3B2F" w:rsidRDefault="000D7749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F105E" w:rsidRPr="00CD3B2F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sz w:val="24"/>
                <w:szCs w:val="24"/>
              </w:rPr>
              <w:t xml:space="preserve">Literatura uzupełniająca: </w:t>
            </w:r>
          </w:p>
          <w:p w:rsidR="00AF105E" w:rsidRPr="00CD3B2F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 xml:space="preserve">H. E. </w:t>
            </w:r>
            <w:proofErr w:type="spellStart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Wyczawski</w:t>
            </w:r>
            <w:proofErr w:type="spellEnd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 xml:space="preserve"> OFM, Studia nad wewnętrznymi dziejami kościelnymi w Małopolsce na schyłku XVI wieku, cz. II: Społeczeństwo katolickie, - Prawo Kanoniczne, 7 (1964), s. 21-116.</w:t>
            </w:r>
          </w:p>
          <w:p w:rsidR="00AF105E" w:rsidRPr="00CD3B2F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Sczaniecki</w:t>
            </w:r>
            <w:proofErr w:type="spellEnd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 xml:space="preserve"> OSB, Służba Boża w dawnej Polsce. Studia o Mszy Św., Poznań-</w:t>
            </w:r>
            <w:proofErr w:type="spellStart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Waszawa</w:t>
            </w:r>
            <w:proofErr w:type="spellEnd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-Lublin 1962.</w:t>
            </w:r>
          </w:p>
          <w:p w:rsidR="00AF105E" w:rsidRPr="00CD3B2F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Sczaniecki</w:t>
            </w:r>
            <w:proofErr w:type="spellEnd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 xml:space="preserve"> OSB, Służba Boża w dawnej Polsce. Studia o Mszy Św., Seria druga, Poznań-</w:t>
            </w:r>
            <w:proofErr w:type="spellStart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Waszawa</w:t>
            </w:r>
            <w:proofErr w:type="spellEnd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-Lublin 1966.</w:t>
            </w:r>
          </w:p>
          <w:p w:rsidR="006E7159" w:rsidRPr="00CD3B2F" w:rsidRDefault="00AF105E" w:rsidP="00AF105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sz w:val="24"/>
                <w:szCs w:val="24"/>
              </w:rPr>
              <w:t xml:space="preserve">G. </w:t>
            </w:r>
            <w:proofErr w:type="spellStart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Huszał</w:t>
            </w:r>
            <w:proofErr w:type="spellEnd"/>
            <w:r w:rsidRPr="00CD3B2F">
              <w:rPr>
                <w:rFonts w:ascii="Times New Roman" w:eastAsia="Garamond" w:hAnsi="Times New Roman"/>
                <w:sz w:val="24"/>
                <w:szCs w:val="24"/>
              </w:rPr>
              <w:t>, Przygotowanie do śmierci w XVIII wieku, - Roczniki Humanistyczne, 31 (1983), z. 2, s. 105-150.</w:t>
            </w:r>
          </w:p>
        </w:tc>
      </w:tr>
      <w:tr w:rsidR="006E7159" w:rsidRPr="00CD3B2F" w:rsidTr="006E7159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159" w:rsidRPr="00CD3B2F" w:rsidRDefault="006E7159" w:rsidP="0074121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D3B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49" w:rsidRDefault="000D7749" w:rsidP="0074121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Pr="000D7749" w:rsidRDefault="000D7749" w:rsidP="0074121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74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C32AA9" w:rsidRPr="000D7749">
              <w:rPr>
                <w:rFonts w:ascii="Times New Roman" w:hAnsi="Times New Roman"/>
                <w:b/>
                <w:sz w:val="24"/>
                <w:szCs w:val="24"/>
              </w:rPr>
              <w:t>r Jacek Chachaj</w:t>
            </w:r>
          </w:p>
        </w:tc>
      </w:tr>
    </w:tbl>
    <w:p w:rsidR="00001844" w:rsidRDefault="00001844"/>
    <w:sectPr w:rsidR="0000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9"/>
    <w:rsid w:val="00001844"/>
    <w:rsid w:val="000D7749"/>
    <w:rsid w:val="003A47B9"/>
    <w:rsid w:val="006E7159"/>
    <w:rsid w:val="00AF105E"/>
    <w:rsid w:val="00C32AA9"/>
    <w:rsid w:val="00C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2012-11-25T01:51:00Z</dcterms:created>
  <dcterms:modified xsi:type="dcterms:W3CDTF">2012-11-29T19:22:00Z</dcterms:modified>
</cp:coreProperties>
</file>