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05"/>
      </w:tblGrid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  <w:p w:rsidR="00A91EB4" w:rsidRDefault="00A91EB4" w:rsidP="00523C39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A91EB4" w:rsidTr="00A91EB4">
        <w:trPr>
          <w:trHeight w:val="8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</w:t>
            </w:r>
            <w:r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(studia licencjackie</w:t>
            </w:r>
            <w:r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i magisterskie</w:t>
            </w:r>
            <w:r>
              <w:rPr>
                <w:rFonts w:ascii="Times New Roman" w:eastAsia="Garamond" w:hAnsi="Times New Roman"/>
                <w:bCs/>
                <w:sz w:val="24"/>
                <w:szCs w:val="24"/>
              </w:rPr>
              <w:t>)</w:t>
            </w: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A91EB4" w:rsidRDefault="00A91EB4" w:rsidP="00523C39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74904">
              <w:rPr>
                <w:rFonts w:ascii="Times New Roman" w:hAnsi="Times New Roman"/>
                <w:b/>
                <w:sz w:val="24"/>
                <w:szCs w:val="24"/>
              </w:rPr>
              <w:t>Wielcy teoretycy wojskowi i ich dzieła</w:t>
            </w:r>
            <w:bookmarkEnd w:id="0"/>
            <w:r w:rsidRPr="00A91EB4">
              <w:rPr>
                <w:rFonts w:ascii="Times New Roman" w:hAnsi="Times New Roman"/>
                <w:sz w:val="24"/>
                <w:szCs w:val="24"/>
              </w:rPr>
              <w:t xml:space="preserve"> (wykład monograficzny</w:t>
            </w:r>
          </w:p>
        </w:tc>
      </w:tr>
      <w:tr w:rsidR="00A91EB4" w:rsidTr="00A91EB4">
        <w:trPr>
          <w:trHeight w:val="17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7490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574904" w:rsidRDefault="00574904" w:rsidP="0057490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15×2</w:t>
            </w: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A91EB4" w:rsidRDefault="0057490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Z/2</w:t>
            </w: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1EB4" w:rsidRDefault="003566C9" w:rsidP="00523C39">
            <w:pPr>
              <w:spacing w:after="0"/>
              <w:rPr>
                <w:rFonts w:asciiTheme="minorHAnsi" w:eastAsiaTheme="minorHAnsi" w:hAnsiTheme="minorHAnsi"/>
              </w:rPr>
            </w:pPr>
            <w:r w:rsidRPr="003566C9">
              <w:rPr>
                <w:rFonts w:asciiTheme="minorHAnsi" w:eastAsiaTheme="minorHAnsi" w:hAnsiTheme="minorHAnsi"/>
              </w:rPr>
              <w:t>Celem wykładu jest przedstawienie sylwetek najważniejszych europejskich teoretyków wojskowych od starożytności po wiek XX. Obok samych postaci analizie zostają poddane ich prace, a także wpływ, jaki wywarły na ewolucję sztuki wojennej. Temat ten nie znalazł dotychczas pełnego opracowania w polskiej historiografii, dlatego zajęcia oparte są przede wszystkim na dawnych pracach teoretycznych i regulaminach z epoki.</w:t>
            </w: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A91EB4" w:rsidRDefault="003566C9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Wykład</w:t>
            </w: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A91EB4" w:rsidRDefault="003566C9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Wpis na podstawie obecności na wykładzie.</w:t>
            </w:r>
          </w:p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Podstawowa literatura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 xml:space="preserve">H.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Camon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, Napoleoński system wojny, Warszawa 1926.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J. Colin, Przeobrażenia wojny, Warszawa 1920.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 xml:space="preserve">T. Kośmider, Operacje wojsk lądowych w poglądach przedstawicieli europejskiej myśli wojskowej: od XVIII wieku do wybuchu drugiej wojny światowej. </w:t>
            </w:r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Warszawa 2008.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Majewski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, Carl von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Clausevitz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wojen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Wrocław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1990.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  <w:lang w:val="en-US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Makers of the Modern Strategy. From Machiavelli  to the Nuclear Age, New Jersey 1986.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Maroń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, Wokół teorii rewolucji militarnej, Wrocław 2011.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B. Miśkiewicz, Polska historiografia wojskowa. Próba analizy i syntezy, Poznań 1996.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T. Nowak, Z dziejów techniki wojennej w dawnej Polsce, Warszawa 1965.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K. Olejnik, Rozwój polskiej myśli wojskowej do końca XVII w., Poznań 1976.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J. Sikorski, Zarys historii wojskowości powszechnej do końca XIX wieku, Warszawa 1962.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>J. Sikorski, Polskie piśmiennictwo wojskowe od XV do XX wieku, Warszawa 1991.</w:t>
            </w:r>
          </w:p>
          <w:p w:rsidR="003566C9" w:rsidRPr="003566C9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 xml:space="preserve">C.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Telp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, Rozwój sztuki operacyjnej 1740-1813. Od Fryderyka Wielkiego do Napoleona, Oświęcim 2012.</w:t>
            </w:r>
          </w:p>
          <w:p w:rsidR="00A91EB4" w:rsidRDefault="003566C9" w:rsidP="003566C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566C9">
              <w:rPr>
                <w:rFonts w:ascii="Times New Roman" w:eastAsia="Garamond" w:hAnsi="Times New Roman"/>
                <w:sz w:val="24"/>
                <w:szCs w:val="24"/>
              </w:rPr>
              <w:t xml:space="preserve">L. </w:t>
            </w:r>
            <w:proofErr w:type="spellStart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>Wyszczelski</w:t>
            </w:r>
            <w:proofErr w:type="spellEnd"/>
            <w:r w:rsidRPr="003566C9">
              <w:rPr>
                <w:rFonts w:ascii="Times New Roman" w:eastAsia="Garamond" w:hAnsi="Times New Roman"/>
                <w:sz w:val="24"/>
                <w:szCs w:val="24"/>
              </w:rPr>
              <w:t xml:space="preserve">, Teorie wojenne i ich twórcy na przestrzeni dziejów. Myśl wojskowa od powstania do końca lat osiemdziesiątych XX wieku, Warszawa 2009.  </w:t>
            </w:r>
          </w:p>
        </w:tc>
      </w:tr>
      <w:tr w:rsidR="00A91EB4" w:rsidTr="00A91EB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A91EB4" w:rsidRDefault="00A91EB4" w:rsidP="00523C39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Osoba prowadząca zajęcia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B4" w:rsidRDefault="00A91EB4" w:rsidP="00523C3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EB4" w:rsidRDefault="003566C9" w:rsidP="00523C3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Marcin Baranowski</w:t>
            </w:r>
          </w:p>
        </w:tc>
      </w:tr>
    </w:tbl>
    <w:p w:rsidR="00AB3B9D" w:rsidRDefault="00AB3B9D"/>
    <w:sectPr w:rsidR="00AB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9B"/>
    <w:rsid w:val="002F279B"/>
    <w:rsid w:val="003566C9"/>
    <w:rsid w:val="00574904"/>
    <w:rsid w:val="00A91EB4"/>
    <w:rsid w:val="00AB3B9D"/>
    <w:rsid w:val="00B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2012-11-24T21:29:00Z</dcterms:created>
  <dcterms:modified xsi:type="dcterms:W3CDTF">2012-11-24T21:33:00Z</dcterms:modified>
</cp:coreProperties>
</file>