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horzAnchor="margin" w:tblpY="405"/>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7605"/>
      </w:tblGrid>
      <w:tr w:rsidR="00A41CED" w:rsidRPr="00E466A3" w:rsidTr="00A41CED">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jc w:val="center"/>
              <w:rPr>
                <w:rFonts w:ascii="Times New Roman" w:eastAsia="Garamond" w:hAnsi="Times New Roman"/>
                <w:b/>
                <w:bCs/>
                <w:sz w:val="24"/>
                <w:szCs w:val="24"/>
              </w:rPr>
            </w:pPr>
          </w:p>
          <w:p w:rsidR="00A41CED" w:rsidRPr="00E466A3" w:rsidRDefault="00A41CED">
            <w:pPr>
              <w:autoSpaceDE w:val="0"/>
              <w:spacing w:after="0"/>
              <w:jc w:val="center"/>
              <w:rPr>
                <w:rFonts w:ascii="Times New Roman" w:eastAsia="Garamond" w:hAnsi="Times New Roman"/>
                <w:b/>
                <w:bCs/>
                <w:sz w:val="24"/>
                <w:szCs w:val="24"/>
              </w:rPr>
            </w:pPr>
            <w:r w:rsidRPr="00E466A3">
              <w:rPr>
                <w:rFonts w:ascii="Times New Roman" w:eastAsia="Garamond" w:hAnsi="Times New Roman"/>
                <w:b/>
                <w:bCs/>
                <w:sz w:val="24"/>
                <w:szCs w:val="24"/>
              </w:rPr>
              <w:t>Nazwa jednostki</w:t>
            </w:r>
          </w:p>
          <w:p w:rsidR="00A41CED" w:rsidRPr="00E466A3" w:rsidRDefault="00A41CED">
            <w:pPr>
              <w:autoSpaceDE w:val="0"/>
              <w:spacing w:after="0"/>
              <w:jc w:val="center"/>
              <w:rPr>
                <w:rFonts w:ascii="Times New Roman" w:eastAsia="Garamond" w:hAnsi="Times New Roman"/>
                <w:b/>
                <w:bCs/>
                <w:sz w:val="24"/>
                <w:szCs w:val="24"/>
              </w:rPr>
            </w:pP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jc w:val="center"/>
              <w:rPr>
                <w:rFonts w:ascii="Times New Roman" w:eastAsia="Garamond" w:hAnsi="Times New Roman"/>
                <w:b/>
                <w:bCs/>
                <w:sz w:val="24"/>
                <w:szCs w:val="24"/>
              </w:rPr>
            </w:pPr>
          </w:p>
          <w:p w:rsidR="00A41CED" w:rsidRPr="00E466A3" w:rsidRDefault="00A41CED">
            <w:pPr>
              <w:autoSpaceDE w:val="0"/>
              <w:spacing w:after="0"/>
              <w:jc w:val="center"/>
              <w:rPr>
                <w:rFonts w:ascii="Times New Roman" w:eastAsia="Garamond" w:hAnsi="Times New Roman"/>
                <w:b/>
                <w:bCs/>
                <w:sz w:val="24"/>
                <w:szCs w:val="24"/>
              </w:rPr>
            </w:pPr>
            <w:r w:rsidRPr="00E466A3">
              <w:rPr>
                <w:rFonts w:ascii="Times New Roman" w:eastAsia="Garamond" w:hAnsi="Times New Roman"/>
                <w:b/>
                <w:bCs/>
                <w:sz w:val="24"/>
                <w:szCs w:val="24"/>
              </w:rPr>
              <w:t>Instytut Historii, Wydział Nauk Humanistycznych</w:t>
            </w:r>
          </w:p>
        </w:tc>
      </w:tr>
      <w:tr w:rsidR="00A41CED" w:rsidRPr="00E466A3" w:rsidTr="00A41CED">
        <w:trPr>
          <w:trHeight w:val="857"/>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rPr>
            </w:pPr>
          </w:p>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Nazwa kierunku (specjalności)</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Cs/>
                <w:sz w:val="24"/>
                <w:szCs w:val="24"/>
              </w:rPr>
            </w:pPr>
          </w:p>
          <w:p w:rsidR="00A41CED" w:rsidRPr="00E466A3" w:rsidRDefault="00A41CED" w:rsidP="0062390E">
            <w:pPr>
              <w:autoSpaceDE w:val="0"/>
              <w:spacing w:after="0" w:line="240" w:lineRule="auto"/>
              <w:jc w:val="center"/>
              <w:rPr>
                <w:rFonts w:ascii="Times New Roman" w:eastAsia="Garamond" w:hAnsi="Times New Roman"/>
                <w:bCs/>
                <w:sz w:val="24"/>
                <w:szCs w:val="24"/>
              </w:rPr>
            </w:pPr>
            <w:r w:rsidRPr="00E466A3">
              <w:rPr>
                <w:rFonts w:ascii="Times New Roman" w:eastAsia="Garamond" w:hAnsi="Times New Roman"/>
                <w:b/>
                <w:bCs/>
                <w:sz w:val="24"/>
                <w:szCs w:val="24"/>
              </w:rPr>
              <w:t>Historia</w:t>
            </w:r>
            <w:r w:rsidR="0062390E">
              <w:rPr>
                <w:rFonts w:ascii="Times New Roman" w:eastAsia="Garamond" w:hAnsi="Times New Roman"/>
                <w:b/>
                <w:bCs/>
                <w:sz w:val="24"/>
                <w:szCs w:val="24"/>
              </w:rPr>
              <w:t>, studia stacjonarne I stopnia, rok II</w:t>
            </w:r>
          </w:p>
        </w:tc>
      </w:tr>
      <w:tr w:rsidR="00A41CED" w:rsidRPr="00E466A3" w:rsidTr="00A41CED">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rPr>
            </w:pPr>
          </w:p>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Nazwa przedmiotu</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Cs/>
                <w:sz w:val="24"/>
                <w:szCs w:val="24"/>
              </w:rPr>
            </w:pPr>
          </w:p>
          <w:p w:rsidR="00A41CED" w:rsidRPr="00E466A3" w:rsidRDefault="00A41CED" w:rsidP="00A41CED">
            <w:pPr>
              <w:pStyle w:val="Akapitzlist"/>
              <w:spacing w:line="240" w:lineRule="auto"/>
              <w:jc w:val="center"/>
              <w:rPr>
                <w:rFonts w:ascii="Times New Roman" w:hAnsi="Times New Roman"/>
                <w:sz w:val="24"/>
                <w:szCs w:val="24"/>
              </w:rPr>
            </w:pPr>
            <w:r w:rsidRPr="00E466A3">
              <w:rPr>
                <w:rFonts w:ascii="Times New Roman" w:hAnsi="Times New Roman"/>
                <w:b/>
                <w:sz w:val="24"/>
                <w:szCs w:val="24"/>
              </w:rPr>
              <w:t>Historia powszechna XIX wieku. Wojny w dziewiętnastowiecznej Europie</w:t>
            </w:r>
            <w:r w:rsidRPr="00E466A3">
              <w:rPr>
                <w:rFonts w:ascii="Times New Roman" w:hAnsi="Times New Roman"/>
                <w:sz w:val="24"/>
                <w:szCs w:val="24"/>
              </w:rPr>
              <w:t xml:space="preserve"> (wykład)</w:t>
            </w:r>
          </w:p>
        </w:tc>
      </w:tr>
      <w:tr w:rsidR="00A41CED" w:rsidRPr="00E466A3" w:rsidTr="0062390E">
        <w:trPr>
          <w:trHeight w:val="1365"/>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Przedmioty wprowadzające (</w:t>
            </w:r>
            <w:proofErr w:type="spellStart"/>
            <w:r w:rsidRPr="00E466A3">
              <w:rPr>
                <w:rFonts w:ascii="Times New Roman" w:eastAsia="Garamond" w:hAnsi="Times New Roman"/>
                <w:b/>
                <w:bCs/>
                <w:i/>
                <w:sz w:val="24"/>
                <w:szCs w:val="24"/>
              </w:rPr>
              <w:t>prerekwizyty</w:t>
            </w:r>
            <w:proofErr w:type="spellEnd"/>
            <w:r w:rsidRPr="00E466A3">
              <w:rPr>
                <w:rFonts w:ascii="Times New Roman" w:eastAsia="Garamond" w:hAnsi="Times New Roman"/>
                <w:b/>
                <w:bCs/>
                <w:sz w:val="24"/>
                <w:szCs w:val="24"/>
              </w:rPr>
              <w:t>) oraz wymagania wstępne</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both"/>
              <w:rPr>
                <w:rFonts w:ascii="Times New Roman" w:eastAsia="Garamond" w:hAnsi="Times New Roman"/>
                <w:sz w:val="24"/>
                <w:szCs w:val="24"/>
              </w:rPr>
            </w:pPr>
          </w:p>
          <w:p w:rsidR="00A41CED" w:rsidRDefault="00A41CED">
            <w:pPr>
              <w:autoSpaceDE w:val="0"/>
              <w:spacing w:after="0" w:line="240" w:lineRule="auto"/>
              <w:jc w:val="both"/>
              <w:rPr>
                <w:rFonts w:ascii="Times New Roman" w:eastAsia="Garamond" w:hAnsi="Times New Roman"/>
                <w:sz w:val="24"/>
                <w:szCs w:val="24"/>
              </w:rPr>
            </w:pPr>
          </w:p>
          <w:p w:rsidR="00E61A62" w:rsidRPr="00E466A3" w:rsidRDefault="0062390E">
            <w:pPr>
              <w:autoSpaceDE w:val="0"/>
              <w:spacing w:after="0" w:line="240" w:lineRule="auto"/>
              <w:jc w:val="both"/>
              <w:rPr>
                <w:rFonts w:ascii="Times New Roman" w:eastAsia="Garamond" w:hAnsi="Times New Roman"/>
                <w:sz w:val="24"/>
                <w:szCs w:val="24"/>
              </w:rPr>
            </w:pPr>
            <w:r>
              <w:rPr>
                <w:rFonts w:ascii="Times New Roman" w:eastAsia="Garamond" w:hAnsi="Times New Roman"/>
                <w:sz w:val="24"/>
                <w:szCs w:val="24"/>
              </w:rPr>
              <w:t>Brak</w:t>
            </w:r>
          </w:p>
        </w:tc>
      </w:tr>
      <w:tr w:rsidR="00A41CED" w:rsidRPr="00E466A3" w:rsidTr="00A41CED">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Liczba godzin zajęć dydaktycznych</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both"/>
              <w:rPr>
                <w:rFonts w:ascii="Times New Roman" w:eastAsia="Garamond" w:hAnsi="Times New Roman"/>
                <w:sz w:val="24"/>
                <w:szCs w:val="24"/>
              </w:rPr>
            </w:pPr>
          </w:p>
          <w:p w:rsidR="00A41CED" w:rsidRPr="00E466A3" w:rsidRDefault="0062390E">
            <w:pPr>
              <w:autoSpaceDE w:val="0"/>
              <w:spacing w:after="0" w:line="240" w:lineRule="auto"/>
              <w:jc w:val="center"/>
              <w:rPr>
                <w:rFonts w:ascii="Times New Roman" w:eastAsia="Garamond" w:hAnsi="Times New Roman"/>
                <w:sz w:val="24"/>
                <w:szCs w:val="24"/>
              </w:rPr>
            </w:pPr>
            <w:r>
              <w:rPr>
                <w:rFonts w:ascii="Times New Roman" w:eastAsia="Garamond" w:hAnsi="Times New Roman"/>
                <w:sz w:val="24"/>
                <w:szCs w:val="24"/>
              </w:rPr>
              <w:t>15</w:t>
            </w:r>
          </w:p>
        </w:tc>
      </w:tr>
      <w:tr w:rsidR="00A41CED" w:rsidRPr="00E466A3" w:rsidTr="00A41CED">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Liczba punktów ECTS</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sz w:val="24"/>
                <w:szCs w:val="24"/>
              </w:rPr>
            </w:pPr>
          </w:p>
          <w:p w:rsidR="00A41CED" w:rsidRPr="00E466A3" w:rsidRDefault="0062390E">
            <w:pPr>
              <w:autoSpaceDE w:val="0"/>
              <w:spacing w:after="0" w:line="240" w:lineRule="auto"/>
              <w:jc w:val="center"/>
              <w:rPr>
                <w:rFonts w:ascii="Times New Roman" w:eastAsia="Garamond" w:hAnsi="Times New Roman"/>
                <w:sz w:val="24"/>
                <w:szCs w:val="24"/>
              </w:rPr>
            </w:pPr>
            <w:r>
              <w:rPr>
                <w:rFonts w:ascii="Times New Roman" w:eastAsia="Garamond" w:hAnsi="Times New Roman"/>
                <w:sz w:val="24"/>
                <w:szCs w:val="24"/>
              </w:rPr>
              <w:t>1</w:t>
            </w:r>
          </w:p>
        </w:tc>
      </w:tr>
      <w:tr w:rsidR="00A41CED" w:rsidRPr="00E466A3" w:rsidTr="00A41CED">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rPr>
            </w:pPr>
          </w:p>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Założenia i cele przedmiotu</w:t>
            </w:r>
          </w:p>
        </w:tc>
        <w:tc>
          <w:tcPr>
            <w:tcW w:w="7605" w:type="dxa"/>
            <w:tcBorders>
              <w:top w:val="single" w:sz="4" w:space="0" w:color="auto"/>
              <w:left w:val="single" w:sz="4" w:space="0" w:color="auto"/>
              <w:bottom w:val="single" w:sz="4" w:space="0" w:color="auto"/>
              <w:right w:val="single" w:sz="4" w:space="0" w:color="auto"/>
            </w:tcBorders>
            <w:shd w:val="clear" w:color="auto" w:fill="FFFFFF"/>
            <w:hideMark/>
          </w:tcPr>
          <w:p w:rsidR="00A41CED" w:rsidRPr="00E466A3" w:rsidRDefault="008225B8">
            <w:pPr>
              <w:spacing w:after="0"/>
              <w:rPr>
                <w:rFonts w:ascii="Times New Roman" w:eastAsiaTheme="minorHAnsi" w:hAnsi="Times New Roman"/>
                <w:sz w:val="24"/>
                <w:szCs w:val="24"/>
              </w:rPr>
            </w:pPr>
            <w:r w:rsidRPr="00E466A3">
              <w:rPr>
                <w:rFonts w:ascii="Times New Roman" w:eastAsiaTheme="minorHAnsi" w:hAnsi="Times New Roman"/>
                <w:sz w:val="24"/>
                <w:szCs w:val="24"/>
              </w:rPr>
              <w:t>Celem wykładu jest pokazanie najważniejszych konfliktów zbrojnych XIX wieku. Na ich tle studenci poznają kolejne etapy rozwoju europejskiej sztuki wojennej. Szczególny nacisk został położony na dziedzictwo wojen napoleońskich, konflikty bałkańskie oraz wojny o zjednoczenie Niemiec i Włoch.</w:t>
            </w:r>
          </w:p>
        </w:tc>
      </w:tr>
      <w:tr w:rsidR="00A41CED" w:rsidRPr="00E466A3" w:rsidTr="00A41CED">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Metody i pomoce dydaktyczne</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0602FD">
            <w:pPr>
              <w:autoSpaceDE w:val="0"/>
              <w:spacing w:after="0" w:line="240" w:lineRule="auto"/>
              <w:jc w:val="both"/>
              <w:rPr>
                <w:rFonts w:ascii="Times New Roman" w:eastAsia="Garamond" w:hAnsi="Times New Roman"/>
                <w:sz w:val="24"/>
                <w:szCs w:val="24"/>
              </w:rPr>
            </w:pPr>
            <w:r w:rsidRPr="00E466A3">
              <w:rPr>
                <w:rFonts w:ascii="Times New Roman" w:eastAsia="Garamond" w:hAnsi="Times New Roman"/>
                <w:sz w:val="24"/>
                <w:szCs w:val="24"/>
              </w:rPr>
              <w:t xml:space="preserve">Wykład </w:t>
            </w:r>
          </w:p>
        </w:tc>
      </w:tr>
      <w:tr w:rsidR="00A41CED" w:rsidRPr="00E466A3" w:rsidTr="00A41CED">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Forma i warunki zaliczenia</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8225B8" w:rsidRPr="00E466A3" w:rsidRDefault="008225B8" w:rsidP="008225B8">
            <w:pPr>
              <w:autoSpaceDE w:val="0"/>
              <w:spacing w:after="0" w:line="240" w:lineRule="auto"/>
              <w:jc w:val="both"/>
              <w:rPr>
                <w:rFonts w:ascii="Times New Roman" w:eastAsia="Garamond" w:hAnsi="Times New Roman"/>
                <w:sz w:val="24"/>
                <w:szCs w:val="24"/>
              </w:rPr>
            </w:pPr>
          </w:p>
          <w:p w:rsidR="00A41CED" w:rsidRDefault="008225B8">
            <w:pPr>
              <w:autoSpaceDE w:val="0"/>
              <w:spacing w:after="0" w:line="240" w:lineRule="auto"/>
              <w:jc w:val="both"/>
              <w:rPr>
                <w:rFonts w:ascii="Times New Roman" w:eastAsia="Garamond" w:hAnsi="Times New Roman"/>
                <w:sz w:val="24"/>
                <w:szCs w:val="24"/>
              </w:rPr>
            </w:pPr>
            <w:r w:rsidRPr="00E466A3">
              <w:rPr>
                <w:rFonts w:ascii="Times New Roman" w:eastAsia="Garamond" w:hAnsi="Times New Roman"/>
                <w:sz w:val="24"/>
                <w:szCs w:val="24"/>
              </w:rPr>
              <w:t>Wpis na podstawie obecności na wykładzie.</w:t>
            </w:r>
          </w:p>
          <w:p w:rsidR="00AB284C" w:rsidRPr="00E466A3" w:rsidRDefault="00AB284C">
            <w:pPr>
              <w:autoSpaceDE w:val="0"/>
              <w:spacing w:after="0" w:line="240" w:lineRule="auto"/>
              <w:jc w:val="both"/>
              <w:rPr>
                <w:rFonts w:ascii="Times New Roman" w:eastAsia="Garamond" w:hAnsi="Times New Roman"/>
                <w:sz w:val="24"/>
                <w:szCs w:val="24"/>
              </w:rPr>
            </w:pPr>
          </w:p>
        </w:tc>
      </w:tr>
      <w:tr w:rsidR="00A41CED" w:rsidRPr="00E61A62" w:rsidTr="00A41CED">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lang w:val="en-US"/>
              </w:rPr>
            </w:pPr>
          </w:p>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 xml:space="preserve">Literatura </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rPr>
              <w:t xml:space="preserve">T. </w:t>
            </w:r>
            <w:proofErr w:type="spellStart"/>
            <w:r w:rsidRPr="00E466A3">
              <w:rPr>
                <w:rFonts w:ascii="Times New Roman" w:eastAsia="Garamond" w:hAnsi="Times New Roman"/>
                <w:bCs/>
                <w:sz w:val="24"/>
                <w:szCs w:val="24"/>
              </w:rPr>
              <w:t>Brigton</w:t>
            </w:r>
            <w:proofErr w:type="spellEnd"/>
            <w:r w:rsidRPr="00E466A3">
              <w:rPr>
                <w:rFonts w:ascii="Times New Roman" w:eastAsia="Garamond" w:hAnsi="Times New Roman"/>
                <w:bCs/>
                <w:sz w:val="24"/>
                <w:szCs w:val="24"/>
              </w:rPr>
              <w:t>, Szarża lekkiej brygady, Warszawa 2006.</w:t>
            </w:r>
          </w:p>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rPr>
              <w:t xml:space="preserve">H. </w:t>
            </w:r>
            <w:proofErr w:type="spellStart"/>
            <w:r w:rsidRPr="00E466A3">
              <w:rPr>
                <w:rFonts w:ascii="Times New Roman" w:eastAsia="Garamond" w:hAnsi="Times New Roman"/>
                <w:bCs/>
                <w:sz w:val="24"/>
                <w:szCs w:val="24"/>
              </w:rPr>
              <w:t>Camon</w:t>
            </w:r>
            <w:proofErr w:type="spellEnd"/>
            <w:r w:rsidRPr="00E466A3">
              <w:rPr>
                <w:rFonts w:ascii="Times New Roman" w:eastAsia="Garamond" w:hAnsi="Times New Roman"/>
                <w:bCs/>
                <w:sz w:val="24"/>
                <w:szCs w:val="24"/>
              </w:rPr>
              <w:t>, Napoleoński system wojny, Warszawa 1926.</w:t>
            </w:r>
          </w:p>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lang w:val="en-US"/>
              </w:rPr>
              <w:t xml:space="preserve">P. Elliot-Wright, </w:t>
            </w:r>
            <w:proofErr w:type="spellStart"/>
            <w:r w:rsidRPr="00E466A3">
              <w:rPr>
                <w:rFonts w:ascii="Times New Roman" w:eastAsia="Garamond" w:hAnsi="Times New Roman"/>
                <w:bCs/>
                <w:sz w:val="24"/>
                <w:szCs w:val="24"/>
                <w:lang w:val="en-US"/>
              </w:rPr>
              <w:t>Gravelotte</w:t>
            </w:r>
            <w:proofErr w:type="spellEnd"/>
            <w:r w:rsidRPr="00E466A3">
              <w:rPr>
                <w:rFonts w:ascii="Times New Roman" w:eastAsia="Garamond" w:hAnsi="Times New Roman"/>
                <w:bCs/>
                <w:sz w:val="24"/>
                <w:szCs w:val="24"/>
                <w:lang w:val="en-US"/>
              </w:rPr>
              <w:t xml:space="preserve">-St. </w:t>
            </w:r>
            <w:proofErr w:type="spellStart"/>
            <w:r w:rsidRPr="00E466A3">
              <w:rPr>
                <w:rFonts w:ascii="Times New Roman" w:eastAsia="Garamond" w:hAnsi="Times New Roman"/>
                <w:bCs/>
                <w:sz w:val="24"/>
                <w:szCs w:val="24"/>
              </w:rPr>
              <w:t>Privat</w:t>
            </w:r>
            <w:proofErr w:type="spellEnd"/>
            <w:r w:rsidRPr="00E466A3">
              <w:rPr>
                <w:rFonts w:ascii="Times New Roman" w:eastAsia="Garamond" w:hAnsi="Times New Roman"/>
                <w:bCs/>
                <w:sz w:val="24"/>
                <w:szCs w:val="24"/>
              </w:rPr>
              <w:t xml:space="preserve"> 1870, London 1993.</w:t>
            </w:r>
          </w:p>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rPr>
              <w:t xml:space="preserve">M. </w:t>
            </w:r>
            <w:proofErr w:type="spellStart"/>
            <w:r w:rsidRPr="00E466A3">
              <w:rPr>
                <w:rFonts w:ascii="Times New Roman" w:eastAsia="Garamond" w:hAnsi="Times New Roman"/>
                <w:bCs/>
                <w:sz w:val="24"/>
                <w:szCs w:val="24"/>
              </w:rPr>
              <w:t>Kukiel</w:t>
            </w:r>
            <w:proofErr w:type="spellEnd"/>
            <w:r w:rsidRPr="00E466A3">
              <w:rPr>
                <w:rFonts w:ascii="Times New Roman" w:eastAsia="Garamond" w:hAnsi="Times New Roman"/>
                <w:bCs/>
                <w:sz w:val="24"/>
                <w:szCs w:val="24"/>
              </w:rPr>
              <w:t>, Wojny napoleońskie, Warszawa 1927.</w:t>
            </w:r>
          </w:p>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rPr>
              <w:t xml:space="preserve">M. Mercer, </w:t>
            </w:r>
            <w:proofErr w:type="spellStart"/>
            <w:r w:rsidRPr="00E466A3">
              <w:rPr>
                <w:rFonts w:ascii="Times New Roman" w:eastAsia="Garamond" w:hAnsi="Times New Roman"/>
                <w:bCs/>
                <w:sz w:val="24"/>
                <w:szCs w:val="24"/>
              </w:rPr>
              <w:t>Inkerman</w:t>
            </w:r>
            <w:proofErr w:type="spellEnd"/>
            <w:r w:rsidRPr="00E466A3">
              <w:rPr>
                <w:rFonts w:ascii="Times New Roman" w:eastAsia="Garamond" w:hAnsi="Times New Roman"/>
                <w:bCs/>
                <w:sz w:val="24"/>
                <w:szCs w:val="24"/>
              </w:rPr>
              <w:t xml:space="preserve"> 1854, London 1998.</w:t>
            </w:r>
          </w:p>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rPr>
              <w:t xml:space="preserve">W. Morawski, S. </w:t>
            </w:r>
            <w:proofErr w:type="spellStart"/>
            <w:r w:rsidRPr="00E466A3">
              <w:rPr>
                <w:rFonts w:ascii="Times New Roman" w:eastAsia="Garamond" w:hAnsi="Times New Roman"/>
                <w:bCs/>
                <w:sz w:val="24"/>
                <w:szCs w:val="24"/>
              </w:rPr>
              <w:t>Szawłowska</w:t>
            </w:r>
            <w:proofErr w:type="spellEnd"/>
            <w:r w:rsidRPr="00E466A3">
              <w:rPr>
                <w:rFonts w:ascii="Times New Roman" w:eastAsia="Garamond" w:hAnsi="Times New Roman"/>
                <w:bCs/>
                <w:sz w:val="24"/>
                <w:szCs w:val="24"/>
              </w:rPr>
              <w:t>, Wojny rosyjsko-tureckie od XVII do XX wieku, Warszawa 2006.</w:t>
            </w:r>
          </w:p>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rPr>
              <w:t xml:space="preserve">P. </w:t>
            </w:r>
            <w:proofErr w:type="spellStart"/>
            <w:r w:rsidRPr="00E466A3">
              <w:rPr>
                <w:rFonts w:ascii="Times New Roman" w:eastAsia="Garamond" w:hAnsi="Times New Roman"/>
                <w:bCs/>
                <w:sz w:val="24"/>
                <w:szCs w:val="24"/>
              </w:rPr>
              <w:t>Olender</w:t>
            </w:r>
            <w:proofErr w:type="spellEnd"/>
            <w:r w:rsidRPr="00E466A3">
              <w:rPr>
                <w:rFonts w:ascii="Times New Roman" w:eastAsia="Garamond" w:hAnsi="Times New Roman"/>
                <w:bCs/>
                <w:sz w:val="24"/>
                <w:szCs w:val="24"/>
              </w:rPr>
              <w:t>, Lissa 1866, Warszawa 2010.</w:t>
            </w:r>
          </w:p>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rPr>
              <w:t>K. Rudnicki, Operacyjna użyteczność kawalerii w świetle historii, Oświęcim 2012 [reprint].</w:t>
            </w:r>
          </w:p>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rPr>
              <w:t>G. Santi-Mazzini, Militaria, Warszawa 2007.</w:t>
            </w:r>
          </w:p>
          <w:p w:rsidR="000602FD" w:rsidRPr="00E466A3" w:rsidRDefault="000602FD" w:rsidP="000602FD">
            <w:pPr>
              <w:autoSpaceDE w:val="0"/>
              <w:spacing w:after="0" w:line="240" w:lineRule="auto"/>
              <w:jc w:val="both"/>
              <w:rPr>
                <w:rFonts w:ascii="Times New Roman" w:eastAsia="Garamond" w:hAnsi="Times New Roman"/>
                <w:bCs/>
                <w:sz w:val="24"/>
                <w:szCs w:val="24"/>
              </w:rPr>
            </w:pPr>
            <w:r w:rsidRPr="00E466A3">
              <w:rPr>
                <w:rFonts w:ascii="Times New Roman" w:eastAsia="Garamond" w:hAnsi="Times New Roman"/>
                <w:bCs/>
                <w:sz w:val="24"/>
                <w:szCs w:val="24"/>
              </w:rPr>
              <w:t>J. Sikorski, Zarys historii wojskowości powszechnej do końca XIX wieku, Warszawa 1962.</w:t>
            </w:r>
          </w:p>
          <w:p w:rsidR="000602FD" w:rsidRPr="00E466A3" w:rsidRDefault="000602FD" w:rsidP="000602FD">
            <w:pPr>
              <w:autoSpaceDE w:val="0"/>
              <w:spacing w:after="0" w:line="240" w:lineRule="auto"/>
              <w:jc w:val="both"/>
              <w:rPr>
                <w:rFonts w:ascii="Times New Roman" w:eastAsia="Garamond" w:hAnsi="Times New Roman"/>
                <w:bCs/>
                <w:sz w:val="24"/>
                <w:szCs w:val="24"/>
                <w:lang w:val="en-US"/>
              </w:rPr>
            </w:pPr>
            <w:r w:rsidRPr="00E466A3">
              <w:rPr>
                <w:rFonts w:ascii="Times New Roman" w:eastAsia="Garamond" w:hAnsi="Times New Roman"/>
                <w:bCs/>
                <w:sz w:val="24"/>
                <w:szCs w:val="24"/>
                <w:lang w:val="en-US"/>
              </w:rPr>
              <w:t xml:space="preserve">J. </w:t>
            </w:r>
            <w:proofErr w:type="spellStart"/>
            <w:r w:rsidRPr="00E466A3">
              <w:rPr>
                <w:rFonts w:ascii="Times New Roman" w:eastAsia="Garamond" w:hAnsi="Times New Roman"/>
                <w:bCs/>
                <w:sz w:val="24"/>
                <w:szCs w:val="24"/>
                <w:lang w:val="en-US"/>
              </w:rPr>
              <w:t>Sweetman</w:t>
            </w:r>
            <w:proofErr w:type="spellEnd"/>
            <w:r w:rsidRPr="00E466A3">
              <w:rPr>
                <w:rFonts w:ascii="Times New Roman" w:eastAsia="Garamond" w:hAnsi="Times New Roman"/>
                <w:bCs/>
                <w:sz w:val="24"/>
                <w:szCs w:val="24"/>
                <w:lang w:val="en-US"/>
              </w:rPr>
              <w:t>, The Crimean War, Oxford 2001.</w:t>
            </w:r>
          </w:p>
          <w:p w:rsidR="000602FD" w:rsidRPr="00E61A62" w:rsidRDefault="000602FD" w:rsidP="000602FD">
            <w:pPr>
              <w:autoSpaceDE w:val="0"/>
              <w:spacing w:after="0" w:line="240" w:lineRule="auto"/>
              <w:jc w:val="both"/>
              <w:rPr>
                <w:rFonts w:ascii="Times New Roman" w:eastAsia="Garamond" w:hAnsi="Times New Roman"/>
                <w:bCs/>
                <w:sz w:val="24"/>
                <w:szCs w:val="24"/>
                <w:lang w:val="en-US"/>
              </w:rPr>
            </w:pPr>
            <w:r w:rsidRPr="00E61A62">
              <w:rPr>
                <w:rFonts w:ascii="Times New Roman" w:eastAsia="Garamond" w:hAnsi="Times New Roman"/>
                <w:bCs/>
                <w:sz w:val="24"/>
                <w:szCs w:val="24"/>
                <w:lang w:val="en-US"/>
              </w:rPr>
              <w:t xml:space="preserve">G. </w:t>
            </w:r>
            <w:proofErr w:type="spellStart"/>
            <w:r w:rsidRPr="00E61A62">
              <w:rPr>
                <w:rFonts w:ascii="Times New Roman" w:eastAsia="Garamond" w:hAnsi="Times New Roman"/>
                <w:bCs/>
                <w:sz w:val="24"/>
                <w:szCs w:val="24"/>
                <w:lang w:val="en-US"/>
              </w:rPr>
              <w:t>Swoboda</w:t>
            </w:r>
            <w:proofErr w:type="spellEnd"/>
            <w:r w:rsidRPr="00E61A62">
              <w:rPr>
                <w:rFonts w:ascii="Times New Roman" w:eastAsia="Garamond" w:hAnsi="Times New Roman"/>
                <w:bCs/>
                <w:sz w:val="24"/>
                <w:szCs w:val="24"/>
                <w:lang w:val="en-US"/>
              </w:rPr>
              <w:t>, Dublin 1916, Warszawa 2006.</w:t>
            </w:r>
          </w:p>
          <w:p w:rsidR="00A41CED" w:rsidRDefault="000602FD">
            <w:pPr>
              <w:autoSpaceDE w:val="0"/>
              <w:spacing w:after="0" w:line="240" w:lineRule="auto"/>
              <w:jc w:val="both"/>
              <w:rPr>
                <w:rFonts w:ascii="Times New Roman" w:eastAsia="Garamond" w:hAnsi="Times New Roman"/>
                <w:bCs/>
                <w:sz w:val="24"/>
                <w:szCs w:val="24"/>
                <w:lang w:val="en-US"/>
              </w:rPr>
            </w:pPr>
            <w:r w:rsidRPr="00E466A3">
              <w:rPr>
                <w:rFonts w:ascii="Times New Roman" w:eastAsia="Garamond" w:hAnsi="Times New Roman"/>
                <w:bCs/>
                <w:sz w:val="24"/>
                <w:szCs w:val="24"/>
                <w:lang w:val="en-US"/>
              </w:rPr>
              <w:t xml:space="preserve">G. </w:t>
            </w:r>
            <w:proofErr w:type="spellStart"/>
            <w:r w:rsidRPr="00E466A3">
              <w:rPr>
                <w:rFonts w:ascii="Times New Roman" w:eastAsia="Garamond" w:hAnsi="Times New Roman"/>
                <w:bCs/>
                <w:sz w:val="24"/>
                <w:szCs w:val="24"/>
                <w:lang w:val="en-US"/>
              </w:rPr>
              <w:t>Wawro</w:t>
            </w:r>
            <w:proofErr w:type="spellEnd"/>
            <w:r w:rsidRPr="00E466A3">
              <w:rPr>
                <w:rFonts w:ascii="Times New Roman" w:eastAsia="Garamond" w:hAnsi="Times New Roman"/>
                <w:bCs/>
                <w:sz w:val="24"/>
                <w:szCs w:val="24"/>
                <w:lang w:val="en-US"/>
              </w:rPr>
              <w:t xml:space="preserve">, The Franco-Prussian War. The German </w:t>
            </w:r>
            <w:proofErr w:type="spellStart"/>
            <w:r w:rsidRPr="00E466A3">
              <w:rPr>
                <w:rFonts w:ascii="Times New Roman" w:eastAsia="Garamond" w:hAnsi="Times New Roman"/>
                <w:bCs/>
                <w:sz w:val="24"/>
                <w:szCs w:val="24"/>
                <w:lang w:val="en-US"/>
              </w:rPr>
              <w:t>Coquest</w:t>
            </w:r>
            <w:proofErr w:type="spellEnd"/>
            <w:r w:rsidRPr="00E466A3">
              <w:rPr>
                <w:rFonts w:ascii="Times New Roman" w:eastAsia="Garamond" w:hAnsi="Times New Roman"/>
                <w:bCs/>
                <w:sz w:val="24"/>
                <w:szCs w:val="24"/>
                <w:lang w:val="en-US"/>
              </w:rPr>
              <w:t xml:space="preserve"> of France in 1870-1871, Cambridge 2003.</w:t>
            </w:r>
          </w:p>
          <w:p w:rsidR="00AB284C" w:rsidRDefault="00AB284C">
            <w:pPr>
              <w:autoSpaceDE w:val="0"/>
              <w:spacing w:after="0" w:line="240" w:lineRule="auto"/>
              <w:jc w:val="both"/>
              <w:rPr>
                <w:rFonts w:ascii="Times New Roman" w:eastAsia="Garamond" w:hAnsi="Times New Roman"/>
                <w:bCs/>
                <w:sz w:val="24"/>
                <w:szCs w:val="24"/>
                <w:lang w:val="en-US"/>
              </w:rPr>
            </w:pPr>
          </w:p>
          <w:p w:rsidR="00AB284C" w:rsidRPr="00AB284C" w:rsidRDefault="00AB284C">
            <w:pPr>
              <w:autoSpaceDE w:val="0"/>
              <w:spacing w:after="0" w:line="240" w:lineRule="auto"/>
              <w:jc w:val="both"/>
              <w:rPr>
                <w:rFonts w:ascii="Times New Roman" w:eastAsia="Garamond" w:hAnsi="Times New Roman"/>
                <w:bCs/>
                <w:sz w:val="24"/>
                <w:szCs w:val="24"/>
                <w:lang w:val="en-US"/>
              </w:rPr>
            </w:pPr>
            <w:bookmarkStart w:id="0" w:name="_GoBack"/>
            <w:bookmarkEnd w:id="0"/>
          </w:p>
        </w:tc>
      </w:tr>
      <w:tr w:rsidR="00A41CED" w:rsidRPr="00E466A3" w:rsidTr="00A41CED">
        <w:tc>
          <w:tcPr>
            <w:tcW w:w="199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autoSpaceDE w:val="0"/>
              <w:spacing w:after="0" w:line="240" w:lineRule="auto"/>
              <w:jc w:val="center"/>
              <w:rPr>
                <w:rFonts w:ascii="Times New Roman" w:eastAsia="Garamond" w:hAnsi="Times New Roman"/>
                <w:b/>
                <w:bCs/>
                <w:sz w:val="24"/>
                <w:szCs w:val="24"/>
                <w:lang w:val="en-US"/>
              </w:rPr>
            </w:pPr>
          </w:p>
          <w:p w:rsidR="00A41CED" w:rsidRPr="00E466A3" w:rsidRDefault="00A41CED">
            <w:pPr>
              <w:autoSpaceDE w:val="0"/>
              <w:spacing w:after="0" w:line="240" w:lineRule="auto"/>
              <w:jc w:val="center"/>
              <w:rPr>
                <w:rFonts w:ascii="Times New Roman" w:eastAsia="Garamond" w:hAnsi="Times New Roman"/>
                <w:b/>
                <w:bCs/>
                <w:sz w:val="24"/>
                <w:szCs w:val="24"/>
              </w:rPr>
            </w:pPr>
            <w:r w:rsidRPr="00E466A3">
              <w:rPr>
                <w:rFonts w:ascii="Times New Roman" w:eastAsia="Garamond" w:hAnsi="Times New Roman"/>
                <w:b/>
                <w:bCs/>
                <w:sz w:val="24"/>
                <w:szCs w:val="24"/>
              </w:rPr>
              <w:t>Osoba prowadząca zajęcia</w:t>
            </w:r>
            <w:r w:rsidR="00AB284C">
              <w:rPr>
                <w:rFonts w:ascii="Times New Roman" w:eastAsia="Garamond" w:hAnsi="Times New Roman"/>
                <w:b/>
                <w:bCs/>
                <w:sz w:val="24"/>
                <w:szCs w:val="24"/>
              </w:rPr>
              <w:t xml:space="preserve"> (autor sylabusa)</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A41CED" w:rsidRPr="00E466A3" w:rsidRDefault="00A41CED">
            <w:pPr>
              <w:pStyle w:val="Akapitzlist"/>
              <w:ind w:left="0"/>
              <w:jc w:val="both"/>
              <w:rPr>
                <w:rFonts w:ascii="Times New Roman" w:hAnsi="Times New Roman"/>
                <w:sz w:val="24"/>
                <w:szCs w:val="24"/>
              </w:rPr>
            </w:pPr>
          </w:p>
          <w:p w:rsidR="00A41CED" w:rsidRPr="00AB284C" w:rsidRDefault="00AB284C">
            <w:pPr>
              <w:pStyle w:val="Akapitzlist"/>
              <w:ind w:left="0"/>
              <w:jc w:val="center"/>
              <w:rPr>
                <w:rFonts w:ascii="Times New Roman" w:hAnsi="Times New Roman"/>
                <w:b/>
                <w:sz w:val="24"/>
                <w:szCs w:val="24"/>
              </w:rPr>
            </w:pPr>
            <w:r w:rsidRPr="00AB284C">
              <w:rPr>
                <w:rFonts w:ascii="Times New Roman" w:hAnsi="Times New Roman"/>
                <w:b/>
                <w:sz w:val="24"/>
                <w:szCs w:val="24"/>
              </w:rPr>
              <w:t>d</w:t>
            </w:r>
            <w:r w:rsidR="000602FD" w:rsidRPr="00AB284C">
              <w:rPr>
                <w:rFonts w:ascii="Times New Roman" w:hAnsi="Times New Roman"/>
                <w:b/>
                <w:sz w:val="24"/>
                <w:szCs w:val="24"/>
              </w:rPr>
              <w:t>r Marcin Baranowski</w:t>
            </w:r>
          </w:p>
        </w:tc>
      </w:tr>
    </w:tbl>
    <w:p w:rsidR="00A347C6" w:rsidRDefault="00A347C6"/>
    <w:sectPr w:rsidR="00A34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48"/>
    <w:rsid w:val="000602FD"/>
    <w:rsid w:val="003C431B"/>
    <w:rsid w:val="0062390E"/>
    <w:rsid w:val="008225B8"/>
    <w:rsid w:val="00A347C6"/>
    <w:rsid w:val="00A41CED"/>
    <w:rsid w:val="00AB284C"/>
    <w:rsid w:val="00E466A3"/>
    <w:rsid w:val="00E61A62"/>
    <w:rsid w:val="00EA3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1CE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1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1CE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237</Words>
  <Characters>1428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4</cp:revision>
  <dcterms:created xsi:type="dcterms:W3CDTF">2012-11-24T21:23:00Z</dcterms:created>
  <dcterms:modified xsi:type="dcterms:W3CDTF">2012-11-29T19:55:00Z</dcterms:modified>
</cp:coreProperties>
</file>