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jc w:val="center"/>
        <w:rPr>
          <w:rFonts w:ascii="Garamond" w:hAnsi="Garamond"/>
          <w:b/>
          <w:bCs/>
          <w:smallCaps/>
        </w:rPr>
      </w:pPr>
      <w:r>
        <w:rPr>
          <w:rFonts w:ascii="Garamond" w:hAnsi="Garamond"/>
          <w:b/>
          <w:bCs/>
          <w:smallCaps/>
        </w:rPr>
        <w:t>Streszczenie</w:t>
      </w:r>
    </w:p>
    <w:p>
      <w:pPr>
        <w:pStyle w:val="Normal"/>
        <w:spacing w:lineRule="auto" w:line="360"/>
        <w:ind w:left="0" w:right="0" w:firstLine="709"/>
        <w:jc w:val="both"/>
        <w:rPr>
          <w:rFonts w:ascii="Garamond" w:hAnsi="Garamond"/>
        </w:rPr>
      </w:pPr>
      <w:r>
        <w:rPr>
          <w:rFonts w:ascii="Garamond" w:hAnsi="Garamond"/>
        </w:rPr>
        <w:t>Nie budzi wątpliwości, że pojęcie praw podmiotowych jest współcześnie podstawową kategorią pojęciową języka prawnego i prawniczego, także w płaszczyźnie polskiego systemu prawa. Powszechność tego terminu wynika z faktu, że prawa podmiotowe nie są już domeną wyłącznie określonej części regulacji prawnych (a przede wszystkim prawa prywatnego), lecz wręcz przeciwnie, w szerokim znaczeniu można o nich mówić na gruncie każdej gałęzi prawa, w tym także publicznego. Dlatego też trudno jest ograniczyć analizę modelu prawnego praw podmiotowych wyłącznie do prawa administracyjnego czy prawa cywilnego, odrywając ją chociażby od konstytucyjnych regulacji dotyczących praw i wolności, i odwrotnie.</w:t>
      </w:r>
    </w:p>
    <w:p>
      <w:pPr>
        <w:pStyle w:val="Normal"/>
        <w:spacing w:lineRule="auto" w:line="360"/>
        <w:ind w:left="0" w:right="0" w:firstLine="709"/>
        <w:jc w:val="both"/>
        <w:rPr>
          <w:rFonts w:ascii="Garamond" w:hAnsi="Garamond"/>
        </w:rPr>
      </w:pPr>
      <w:r>
        <w:rPr>
          <w:rFonts w:ascii="Garamond" w:hAnsi="Garamond"/>
        </w:rPr>
        <w:t>Wbrew początkowemu odczuciu, instytucja prawa podmiotowego jest stosunkowo często wykorzystywana na gruncie prawnych regulacji kwestii ekologicznej. Każdy człowiek, funkcjonując w danym otoczeniu stanowiącym wycinek ogólnego środowiska, w naturalny sposób korzysta z jego dobrodziejstw, zarówno dla zaspokojenia własnych, indywidualnie zróżnicowanych potrzeb duchowych (kontemplacja piękna natury), jak i tych życiowych (możliwość oddychania świeżym powietrzem) czy ekonomicznych (wykorzystując poszczególne elementy przyrodnicze dla celów gospodarczych). Właśnie ta możność postępowania przez jednostkę w określony sposób, przyjmująca formę pozytywnego lub negatywnego kształtowania środowiska, stanowi każdorazowo wyraz wykonywania przysługujących jej praw podmiotowych.</w:t>
      </w:r>
    </w:p>
    <w:p>
      <w:pPr>
        <w:pStyle w:val="Normal"/>
        <w:spacing w:lineRule="auto" w:line="360"/>
        <w:ind w:left="0" w:right="0" w:firstLine="709"/>
        <w:jc w:val="both"/>
        <w:rPr>
          <w:rFonts w:ascii="Garamond" w:hAnsi="Garamond"/>
        </w:rPr>
      </w:pPr>
      <w:r>
        <w:rPr>
          <w:rFonts w:ascii="Garamond" w:hAnsi="Garamond"/>
        </w:rPr>
        <w:t>Ta sfera podmiotowych uprawnień jednostki wynikających z faktu egzystowania w środowisku na przestrzeni lat nabierała znaczenia równolegle do zmian zachodzących w prawie ochrony środowiska w rozumieniu przedmiotowym. Zapewne z uwagi na wielce złożony charakter samego środowiska, a przez to również samych relacji człowiek-środowisko, problematyka ta nie była jednak zbyt często podejmowana w doktrynie. Jest to w pewnym sensie wyraz błędnego wartościowania czy najzwyczajniej pomijania niektórych problemów, pomimo ich niewątpliwej doniosłości dla ochrony życia i właściwej jakości życia współczesnego i przyszłych pokoleń.</w:t>
      </w:r>
    </w:p>
    <w:p>
      <w:pPr>
        <w:pStyle w:val="Normal"/>
        <w:spacing w:lineRule="auto" w:line="360"/>
        <w:ind w:left="0" w:right="0" w:firstLine="709"/>
        <w:jc w:val="both"/>
        <w:rPr>
          <w:rFonts w:ascii="Garamond" w:hAnsi="Garamond"/>
        </w:rPr>
      </w:pPr>
      <w:r>
        <w:rPr>
          <w:rFonts w:ascii="Garamond" w:hAnsi="Garamond"/>
        </w:rPr>
        <w:t>A przecież zachowanie równowagi przyrodniczej, a przez to właściwego stanu środowiska, zwłaszcza w dzisiejszych czasach, powinno być traktowane priorytetowo. Środowisko jako całokształt otoczenia życia człowieka, zapewnia mu warunki do prawidłowego życia i rozwoju. Zatem bez zapewnienia odpowiedniej jakości środowiska, nie może być mowy o jakiejkolwiek przyszłości człowieka. Co gorsza, bardzo często niezauważanym pozostaje fakt, że bez stworzenia skutecznych regulacji prawnych ochrony środowiska, w pewnym momencie, wobec zaawansowanego stopnia degradacji środowiska, niemożliwymi do wykonywania mogą stać się inne, zupełnie podstawowe dla człowieka prawa podmiotowe. Nie trudną do wyobrażenia jest bowiem sytuacja, gdy ostatecznym rozrachunku zagrożone może być nawet prawo do życia.</w:t>
      </w:r>
    </w:p>
    <w:p>
      <w:pPr>
        <w:pStyle w:val="Normal"/>
        <w:spacing w:lineRule="auto" w:line="360"/>
        <w:ind w:left="0" w:right="0" w:firstLine="709"/>
        <w:jc w:val="both"/>
        <w:rPr>
          <w:rFonts w:ascii="Garamond" w:hAnsi="Garamond"/>
        </w:rPr>
      </w:pPr>
      <w:r>
        <w:rPr>
          <w:rFonts w:ascii="Garamond" w:hAnsi="Garamond"/>
        </w:rPr>
        <w:t>Dlatego też, uwzględniając faktyczną podstawę działań podejmowanych na rzecz ochrony środowiska, którą zgodnie z powszechnym w doktrynie stanowiskiem jest nie tyle ochrona samego środowiska lub poszczególnych elementów przyrodniczych, co konieczność ochrony życia i zdrowia człowieka, należy zauważyć, że przedmiot zainteresowania ustawodawcy, a przez to i sytuacja prawna jednostki, nie mogą być sprowadzane jedynie do charakteryzowania więzi podmiotu z zasobami środowiska. Poszczególne regulacje prawne, chociażby w większym czy mniejszym stopniu szczegółowości określały jej pozycję względem środowiska, każdorazowo kreują bowiem równocześnie jej sytuację prawną względem pozostałych podmiotów prawa. Uzasadnionym jest tym samym twierdzenie, że sfera uprawnień podmiotowych jednostki, istotna z punktu widzenia prawnej ochrony środowiska, znajduje odzwierciedlenie nie tylko w relacjach pomiędzy jednostką a pozostałymi podmiotami prawa (stosunki prywatnoprawne), lecz ma również niebagatelne znaczenie w jej stosunkach o charakterze publicznoprawnym, w odniesieniu do organów władzy publicznej czy organów administracji (stosunki publicznoprawne).</w:t>
      </w:r>
    </w:p>
    <w:p>
      <w:pPr>
        <w:pStyle w:val="Normal"/>
        <w:spacing w:lineRule="auto" w:line="360"/>
        <w:ind w:left="0" w:right="0" w:firstLine="709"/>
        <w:jc w:val="both"/>
        <w:rPr>
          <w:rFonts w:ascii="Garamond" w:hAnsi="Garamond"/>
        </w:rPr>
      </w:pPr>
      <w:r>
        <w:rPr>
          <w:rFonts w:ascii="Garamond" w:hAnsi="Garamond"/>
        </w:rPr>
        <w:t>Należy przy tym zauważyć, że rozważane z punktu widzenia ochrony środowiska prawa podmiotowe, zarówno te sformułowane na gruncie szeroko rozumianych prawa administracyjnego, jak i prawa cywilnego, z założenia muszą w pewnym zakresie odnosić się do środowiska jako całości lub też pewnej wyodrębnionej jego części. Podstawą rozróżnienia obu sfer uprawnień podmiotowych jednostki, zabezpieczonych roszczeniem prawnym, jest przede wszystkim ich konstrukcyjna specyfika, właściwa dla danej gałęzi prawa. Niekiedy również różnice te mają swoje źródło w przyjętej w ramach konkretnego stosunku prawnego roli, którą pełni środowisko jako przedmiot tego stosunku. Nie ulega bowiem wątpliwości, że każdorazowe zachowania podmiotów są w pewnym stopniu warunkowane cechami obiektów, do których się odnoszą. Odmienną rolę spełnia środowisko w przypadku publicznego prawa do korzystania z jego zasobów, inaczej zaś postrzega się je w przypadku prawa podmiotowego do życia w środowisku wolnym od odpadów. Niekiedy nawet tego typu rozbieżności zauważalne są w odniesieniu do poszczególnych elementów przyrodniczych składających się na środowisko. W konkretnym przypadku chociażby las może być bowiem traktowany zarówno jako wartość materialna będąca przedmiotem prawa własności konkretnej jednostki, wartość ekonomiczna stanowiąca przedmiot publicznego prawa podmiotowego do korzystania z jego zasobów, jak i wartość ekologiczna, stanowiąca materialny substrat dobra osobistego, cenna także z punktu widzenia pozostałych podmiotów prawa mogących korzystać z jego wartości dla zaspokojenia potrzeb życiowych czy duchowych.</w:t>
      </w:r>
    </w:p>
    <w:p>
      <w:pPr>
        <w:pStyle w:val="Normal"/>
        <w:spacing w:lineRule="auto" w:line="360"/>
        <w:ind w:left="0" w:right="0" w:firstLine="709"/>
        <w:jc w:val="both"/>
        <w:rPr>
          <w:rFonts w:ascii="Garamond" w:hAnsi="Garamond"/>
        </w:rPr>
      </w:pPr>
      <w:r>
        <w:rPr>
          <w:rFonts w:ascii="Garamond" w:hAnsi="Garamond"/>
        </w:rPr>
        <w:t>Z tego względu, a dodatkowo także z uwagi na dość złożoną istotę środowiska jako przedmiotu rozlicznych stosunków prawnych, należy przyjąć, że środowisko stanowi źródło szerokiej grupy niejednorodnych uprawnień przysługujących zarówno poszczególnym podmiotom z osobna, jak i całej społeczności ludzkiej. Ze względu zaś na wiodącą rolę organów władz publicznych lub innych podmiotów powołanych z mocy prawa lub na podstawie porozumień do organizowania i wykonywania zadań z zakresu ochrony środowiska oraz ugruntowany w doktrynie pogląd o podstawowym znaczeniu w tym zakresie norm prawnych zaliczanych do prawa publicznego, w tym przede wszystkim administracyjnego, szczególnie istotnym zagadnieniem jest wynikająca stąd pozycja prawna jednostki kształtowana w ramach tak nakreślonego systemu prawnej ochrony środowiska. Właśnie problematyka określenia sytuacji prawnej jednostki w płaszczyźnie prawa ochrony środowiska, zwłaszcza w kontekście formułowania przysługujących jej praw i wolności o publicznoprawnym charakterze, zyskuje bowiem w ostatnich latach coraz większe uznanie prawne.</w:t>
      </w:r>
    </w:p>
    <w:p>
      <w:pPr>
        <w:pStyle w:val="Normal"/>
        <w:spacing w:lineRule="auto" w:line="360"/>
        <w:ind w:left="0" w:right="0" w:firstLine="709"/>
        <w:jc w:val="both"/>
        <w:rPr>
          <w:rFonts w:ascii="Garamond" w:hAnsi="Garamond"/>
        </w:rPr>
      </w:pPr>
      <w:r>
        <w:rPr>
          <w:rFonts w:ascii="Garamond" w:hAnsi="Garamond"/>
        </w:rPr>
        <w:t>Jak zauważa się w doktrynie, samo pojęcie publicznych praw podmiotowych jest wyróżnieniem teoretycznym gruntującym ideę państwa prawa i dającym możliwość analizy porządku prawnego z punktu widzenia ochrony jednostki. O ile jednak ugruntowanym w doktrynie prawa jest pogląd dopuszczający możliwość uznania za podmiot praw i wolności konstytucyjnych także osób prawnych, o tyle w kategoriach sztuczności postrzegane jest niekiedy uznanie ich za podmiot publicznych praw podmiotowych (a wśród nich także możliwość postrzegania w tych kategoriach państwa lub jednostek samorządu terytorialnego). Z tego też względu przedmiot planowanych badań ograniczony został jedynie do publicznych praw podmiotowych jednostki jako pojęcia najbardziej neutralnego i niekontrowersyjnego.</w:t>
      </w:r>
    </w:p>
    <w:p>
      <w:pPr>
        <w:pStyle w:val="Normal"/>
        <w:spacing w:lineRule="auto" w:line="360"/>
        <w:ind w:left="0" w:right="0" w:firstLine="709"/>
        <w:jc w:val="both"/>
        <w:rPr>
          <w:rFonts w:ascii="Garamond" w:hAnsi="Garamond"/>
        </w:rPr>
      </w:pPr>
      <w:r>
        <w:rPr>
          <w:rFonts w:ascii="Garamond" w:hAnsi="Garamond"/>
        </w:rPr>
        <w:t>Ogólnie rzecz biorąc publiczne prawa podmiotowe stanowią szczególnego rodzaju konstrukcją prawną, mającą na celu ochronę pozycji jednostki w jej stosunkach z podmiotami władzy publicznej, w szczególności zaś określającą relacje jednostki względem państwa. Doktryna określa je jako pochodną i prostą sytuację prawną podmiotu tych praw, pozwalającą na skuteczne kierowanie żądania ściśle określonego zachowania do objętego tą sytuacją prawną innego – zbiorowego – podmiotu. Innymi słowy jest to sytuacja prawna obywatela (jednostki zbiorowej), w obrębie której obywatel ten (jednostka zbiorowa), opierający się na chroniących jego interesy prawne normach prawnych może skutecznie żądać czegoś od państwa lub może w sposób niekwestionowany przez państwo coś zdziałać. Istotnym jest przy tym to, że przysługujące jednostce roszczenie wobec podmiotu publicznego w celu ochrony jego gwarantowanego ustawą interesu prawnego jest połączone z prawem skargi do sądu administracyjnego.</w:t>
      </w:r>
    </w:p>
    <w:p>
      <w:pPr>
        <w:pStyle w:val="Normal"/>
        <w:spacing w:lineRule="auto" w:line="360"/>
        <w:ind w:left="0" w:right="0" w:firstLine="709"/>
        <w:jc w:val="both"/>
        <w:rPr>
          <w:rFonts w:ascii="Garamond" w:hAnsi="Garamond"/>
        </w:rPr>
      </w:pPr>
      <w:r>
        <w:rPr>
          <w:rFonts w:ascii="Garamond" w:hAnsi="Garamond"/>
        </w:rPr>
        <w:t xml:space="preserve">Podobne ujęcie tych praw zauważalne jest także na gruncie przepisów zaliczanych do systemu prawa ochrony środowiska. Ze względu na klasyfikowanie tej części regulacji jako wyspecjalizowany dział prawa administracyjnego, również i w tej płaszczyźnie publiczne prawa podmiotowe uwidaczniają się w sferze stosunków zachodzących pomiędzy jednostką a podmiotami publicznymi. </w:t>
      </w:r>
      <w:r>
        <w:rPr>
          <w:rFonts w:ascii="Garamond" w:hAnsi="Garamond"/>
          <w:i/>
        </w:rPr>
        <w:t>In concreto</w:t>
      </w:r>
      <w:r>
        <w:rPr>
          <w:rFonts w:ascii="Garamond" w:hAnsi="Garamond"/>
        </w:rPr>
        <w:t xml:space="preserve"> osiąganie celów ochrony środowiska związane jest bowiem z wykonywaniem przez jednostkę oraz ochroną tych publicznych praw podmiotowych, których przedmiotem jest środowisko lub poszczególne elementy przyrodnicze.</w:t>
      </w:r>
    </w:p>
    <w:p>
      <w:pPr>
        <w:pStyle w:val="Normal"/>
        <w:spacing w:lineRule="auto" w:line="360"/>
        <w:ind w:left="0" w:right="0" w:firstLine="709"/>
        <w:jc w:val="both"/>
        <w:rPr>
          <w:rFonts w:ascii="Garamond" w:hAnsi="Garamond"/>
        </w:rPr>
      </w:pPr>
      <w:r>
        <w:rPr>
          <w:rFonts w:ascii="Garamond" w:hAnsi="Garamond"/>
        </w:rPr>
        <w:t>Istotną konsekwencją analogicznego postrzegania koncepcji publicznych praw podmiotowych jednostki na gruncie prawa środowiskowego jest możliwość przejęcia funkcjonujących w doktrynie prawa administracyjnego klasycznych podziałów publicznych praw podmiotowych i zastosowania ich właśnie w ramach prawa ochrony środowiska. Na tej płaszczyźnie, podobnie jak i w doktrynie prawa publicznego, w ramach podstawowego podziału wyróżnić można przede wszystkim publiczne prawa podmiotowe o treści negatywnej, polegające na roszczeniu o zaniechanie ingerencji w sferę uprzednio uznanej wolności lub przyznanego stanu prawnego, jak i prawa o treści pozytywnej, których istotą jest możliwość żądania od organu administracji określonego zachowania, tak by zapewnić jednostce korzystanie z przysługujących jej uprawnień (świadczeń).</w:t>
      </w:r>
    </w:p>
    <w:p>
      <w:pPr>
        <w:pStyle w:val="Normal"/>
        <w:spacing w:lineRule="auto" w:line="360"/>
        <w:ind w:left="0" w:right="0" w:firstLine="709"/>
        <w:jc w:val="both"/>
        <w:rPr>
          <w:rFonts w:ascii="Garamond" w:hAnsi="Garamond"/>
        </w:rPr>
      </w:pPr>
      <w:r>
        <w:rPr>
          <w:rFonts w:ascii="Garamond" w:hAnsi="Garamond"/>
        </w:rPr>
        <w:t>Z powyższych względów planowana analiza problematyki wykorzystania modelu publicznych praw podmiotowych dla celów stawianych ochronie środowiska uzyskuje walor badań o podstawowym znaczeniu zarówno z punktu widzenia sytuacji prawnej jednostki, jak i prawidłowości wykonywania zadań publicznych związanych z ochroną środowiska. Ze względu zaś na oczywisty wpływ na sytuację prawną jednostki w płaszczyźnie przepisów prawa ochrony środowiska katalogu przysługujących jej w relacjach z organami władzy publicznej publicznych praw podmiotowych, w tak zakreślony podstawowy nurt badań wpisuje się również zagadnienie dopuszczalności formułowania w polskim systemie prawa jednolitego prawa jednostki do środowiska. Potrzeba rozważenia tego problemu wynika z wielu czynników, w szczególności odnaleźć można zarówno prawne, jak i pozaprawne podstawy formułowania prawa do środowiska. W tym kontekście należy także stwierdzić, że o ile prawo ochrony środowiska w ujęciu przedmiotowym doczekało się już dość obszernej literatury i w ujęciu teoretycznym zostało opracowane w przynajmniej zadowalającym stopniu, o tyle dostrzegalny jest za to wyraźny brak w polskiej doktrynie jednoznacznych i kompletnych opracowań tego prawa w ujęciu podmiotowym. Zagadnienie to jest tym bardziej aktualne ze względu na coraz powszechniejszą w doktrynie prawa międzynarodowego praw człowieka, będących swoistymi prawami podmiotowymi, potrzebę uregulowania podmiotowego statusu jednostki w jego relacji do środowiska. Skłania to zatem ku równoczesnemu podjęciu badań nad możliwością wyinterpretowania z przepisów zaliczanych do systemu prawa ochrony środowiska teoretycznej koncepcji jednolitego prawa jednostki do środowiska.</w:t>
      </w:r>
    </w:p>
    <w:p>
      <w:pPr>
        <w:pStyle w:val="Normal"/>
        <w:spacing w:lineRule="auto" w:line="360"/>
        <w:ind w:left="0" w:right="0" w:firstLine="709"/>
        <w:jc w:val="both"/>
        <w:rPr>
          <w:rFonts w:ascii="Garamond" w:hAnsi="Garamond"/>
        </w:rPr>
      </w:pPr>
      <w:r>
        <w:rPr>
          <w:rFonts w:ascii="Garamond" w:hAnsi="Garamond"/>
        </w:rPr>
        <w:t>Reasumując, celem rozprawy jest zarówno szczegółowa analiza zagadnienia wykorzystania instytucji publicznych praw podmiotowych na gruncie przepisów polskiego prawa ochrony środowiska, jak i roli, jaką mogą one pełnić w potencjalnej konstrukcji teoretycznej jednolitego prawa jednostki do środowiska. Dogłębna analiza tej problematyki pozwoli na opracowanie i przedstawienie modelu teoretycznej koncepcji jednolitego prawa jednostki do środowiska.</w:t>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Garamond">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opka"/>
      <w:jc w:val="right"/>
      <w:rPr/>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90"/>
  <w:defaultTabStop w:val="708"/>
</w:settings>
</file>

<file path=word/styles.xml><?xml version="1.0" encoding="utf-8"?>
<w:styles xmlns:w="http://schemas.openxmlformats.org/wordprocessingml/2006/main">
  <w:docDefaults>
    <w:rPrDefault>
      <w:rPr>
        <w:rFonts w:ascii="Calibri" w:hAnsi="Calibri" w:eastAsia="Lucida Sans Unicode" w:cs="Calibri"/>
        <w:sz w:val="22"/>
        <w:szCs w:val="22"/>
        <w:lang w:val="pl-PL"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Body Text 2"/>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795bf5"/>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pl-PL" w:val="pl-PL" w:bidi="ar-SA"/>
    </w:rPr>
  </w:style>
  <w:style w:type="paragraph" w:styleId="Nagwek3">
    <w:name w:val="Nagłówek 3"/>
    <w:uiPriority w:val="9"/>
    <w:qFormat/>
    <w:link w:val="Nagwek3Znak"/>
    <w:rsid w:val="006b11cb"/>
    <w:basedOn w:val="Normal"/>
    <w:pPr>
      <w:outlineLvl w:val="2"/>
    </w:pPr>
    <w:rPr/>
  </w:style>
  <w:style w:type="character" w:styleId="DefaultParagraphFont" w:default="1">
    <w:name w:val="Default Paragraph Font"/>
    <w:uiPriority w:val="1"/>
    <w:semiHidden/>
    <w:unhideWhenUsed/>
    <w:rPr/>
  </w:style>
  <w:style w:type="character" w:styleId="TekstprzypisudolnegoZnak" w:customStyle="1">
    <w:name w:val="Tekst przypisu dolnego Znak"/>
    <w:semiHidden/>
    <w:link w:val="Tekstprzypisudolnego"/>
    <w:rsid w:val="00795bf5"/>
    <w:basedOn w:val="DefaultParagraphFont"/>
    <w:rPr>
      <w:rFonts w:ascii="Times New Roman" w:hAnsi="Times New Roman" w:eastAsia="Times New Roman" w:cs="Times New Roman"/>
      <w:sz w:val="20"/>
      <w:szCs w:val="20"/>
      <w:lang w:eastAsia="pl-PL"/>
    </w:rPr>
  </w:style>
  <w:style w:type="character" w:styleId="Footnotereference">
    <w:name w:val="footnote reference"/>
    <w:semiHidden/>
    <w:rsid w:val="00795bf5"/>
    <w:basedOn w:val="DefaultParagraphFont"/>
    <w:rPr>
      <w:vertAlign w:val="superscript"/>
    </w:rPr>
  </w:style>
  <w:style w:type="character" w:styleId="Tekstpodstawowy2Znak" w:customStyle="1">
    <w:name w:val="Tekst podstawowy 2 Znak"/>
    <w:link w:val="Tekstpodstawowy2"/>
    <w:rsid w:val="006660b7"/>
    <w:basedOn w:val="DefaultParagraphFont"/>
    <w:rPr>
      <w:rFonts w:ascii="Times New Roman" w:hAnsi="Times New Roman" w:eastAsia="Times New Roman" w:cs="Times New Roman"/>
      <w:lang w:eastAsia="pl-PL"/>
    </w:rPr>
  </w:style>
  <w:style w:type="character" w:styleId="NagwekZnak" w:customStyle="1">
    <w:name w:val="Nagłówek Znak"/>
    <w:uiPriority w:val="99"/>
    <w:semiHidden/>
    <w:link w:val="Nagwek"/>
    <w:rsid w:val="00f44d76"/>
    <w:basedOn w:val="DefaultParagraphFont"/>
    <w:rPr>
      <w:rFonts w:ascii="Times New Roman" w:hAnsi="Times New Roman" w:eastAsia="Times New Roman" w:cs="Times New Roman"/>
      <w:sz w:val="24"/>
      <w:szCs w:val="24"/>
      <w:lang w:eastAsia="pl-PL"/>
    </w:rPr>
  </w:style>
  <w:style w:type="character" w:styleId="StopkaZnak" w:customStyle="1">
    <w:name w:val="Stopka Znak"/>
    <w:uiPriority w:val="99"/>
    <w:link w:val="Stopka"/>
    <w:rsid w:val="00f44d76"/>
    <w:basedOn w:val="DefaultParagraphFont"/>
    <w:rPr>
      <w:rFonts w:ascii="Times New Roman" w:hAnsi="Times New Roman" w:eastAsia="Times New Roman" w:cs="Times New Roman"/>
      <w:sz w:val="24"/>
      <w:szCs w:val="24"/>
      <w:lang w:eastAsia="pl-PL"/>
    </w:rPr>
  </w:style>
  <w:style w:type="character" w:styleId="Nagwek3Znak" w:customStyle="1">
    <w:name w:val="Nagłówek 3 Znak"/>
    <w:uiPriority w:val="9"/>
    <w:link w:val="Nagwek3"/>
    <w:rsid w:val="006b11cb"/>
    <w:basedOn w:val="DefaultParagraphFont"/>
    <w:rPr>
      <w:rFonts w:ascii="Times New Roman" w:hAnsi="Times New Roman" w:eastAsia="Times New Roman" w:cs="Times New Roman"/>
      <w:b/>
      <w:bCs/>
      <w:sz w:val="27"/>
      <w:szCs w:val="27"/>
      <w:lang w:eastAsia="pl-PL"/>
    </w:rPr>
  </w:style>
  <w:style w:type="character" w:styleId="Updatedshortcitation" w:customStyle="1">
    <w:name w:val="updated-short-citation"/>
    <w:rsid w:val="00c02719"/>
    <w:basedOn w:val="DefaultParagraphFont"/>
    <w:rPr/>
  </w:style>
  <w:style w:type="paragraph" w:styleId="Nagwek">
    <w:name w:val="Nagłówek"/>
    <w:basedOn w:val="Normal"/>
    <w:next w:val="Tretekstu"/>
    <w:pPr>
      <w:keepNext/>
      <w:spacing w:before="240" w:after="120"/>
    </w:pPr>
    <w:rPr>
      <w:rFonts w:ascii="Liberation Sans" w:hAnsi="Liberation Sans" w:eastAsia="Lucida Sans Unicode" w:cs="Mang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pPr>
      <w:suppressLineNumbers/>
    </w:pPr>
    <w:rPr>
      <w:rFonts w:cs="Mangal"/>
    </w:rPr>
  </w:style>
  <w:style w:type="paragraph" w:styleId="Footnotetext">
    <w:name w:val="footnote text"/>
    <w:semiHidden/>
    <w:link w:val="TekstprzypisudolnegoZnak"/>
    <w:rsid w:val="00795bf5"/>
    <w:basedOn w:val="Normal"/>
    <w:pPr/>
    <w:rPr>
      <w:sz w:val="20"/>
      <w:szCs w:val="20"/>
    </w:rPr>
  </w:style>
  <w:style w:type="paragraph" w:styleId="BodyText2">
    <w:name w:val="Body Text 2"/>
    <w:link w:val="Tekstpodstawowy2Znak"/>
    <w:rsid w:val="006660b7"/>
    <w:basedOn w:val="Normal"/>
    <w:pPr>
      <w:spacing w:lineRule="auto" w:line="360"/>
      <w:jc w:val="both"/>
    </w:pPr>
    <w:rPr>
      <w:sz w:val="22"/>
      <w:szCs w:val="22"/>
    </w:rPr>
  </w:style>
  <w:style w:type="paragraph" w:styleId="Gwka">
    <w:name w:val="Główka"/>
    <w:uiPriority w:val="99"/>
    <w:semiHidden/>
    <w:unhideWhenUsed/>
    <w:link w:val="NagwekZnak"/>
    <w:rsid w:val="00f44d76"/>
    <w:basedOn w:val="Normal"/>
    <w:pPr>
      <w:tabs>
        <w:tab w:val="center" w:pos="4536" w:leader="none"/>
        <w:tab w:val="right" w:pos="9072" w:leader="none"/>
      </w:tabs>
    </w:pPr>
    <w:rPr/>
  </w:style>
  <w:style w:type="paragraph" w:styleId="Stopka">
    <w:name w:val="Stopka"/>
    <w:uiPriority w:val="99"/>
    <w:unhideWhenUsed/>
    <w:link w:val="StopkaZnak"/>
    <w:rsid w:val="00f44d76"/>
    <w:basedOn w:val="Normal"/>
    <w:pPr>
      <w:tabs>
        <w:tab w:val="center" w:pos="4536" w:leader="none"/>
        <w:tab w:val="right" w:pos="9072" w:leader="none"/>
      </w:tabs>
    </w:pPr>
    <w:rPr/>
  </w:style>
  <w:style w:type="paragraph" w:styleId="ListParagraph">
    <w:name w:val="List Paragraph"/>
    <w:uiPriority w:val="34"/>
    <w:qFormat/>
    <w:rsid w:val="00b61099"/>
    <w:basedOn w:val="Normal"/>
    <w:pPr>
      <w:spacing w:before="0" w:after="0"/>
      <w:ind w:left="720" w:right="0" w:hanging="0"/>
      <w:contextualSpacing/>
    </w:pPr>
    <w:rPr>
      <w:rFonts w:ascii="Garamond" w:hAnsi="Garamond" w:cs="Calibri"/>
      <w:sz w:val="22"/>
      <w:szCs w:val="22"/>
      <w:lang w:eastAsia="en-US"/>
    </w:rPr>
  </w:style>
  <w:style w:type="numbering" w:styleId="NoList" w:default="1">
    <w:name w:val="No List"/>
    <w:uiPriority w:val="99"/>
    <w:semiHidden/>
    <w:unhideWhenUsed/>
  </w:style>
  <w:style w:type="table" w:default="1" w:styleId="Standardowy">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2014-09-13T21:37:00Z</dcterms:created>
  <dc:creator>Trzewik</dc:creator>
  <dc:language>pl-PL</dc:language>
  <cp:lastModifiedBy>pracownik</cp:lastModifiedBy>
  <dcterms:modified xsi:type="dcterms:W3CDTF">2014-09-13T21:41:00Z</dcterms:modified>
  <cp:revision>4</cp:revision>
</cp:coreProperties>
</file>